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935394538"/>
        <w:docPartObj>
          <w:docPartGallery w:val="Cover Pages"/>
          <w:docPartUnique/>
        </w:docPartObj>
      </w:sdtPr>
      <w:sdtEndPr/>
      <w:sdtContent>
        <w:p w:rsidR="00851C5E" w:rsidRDefault="00851C5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9203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5BDD388" id="Group 149" o:spid="_x0000_s1026" style="position:absolute;margin-left:0;margin-top:0;width:8in;height:95.7pt;z-index:25169203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51C5E" w:rsidRDefault="00851C5E">
          <w:r w:rsidRPr="00823CAB">
            <w:rPr>
              <w:b/>
              <w:bCs/>
              <w:noProof/>
              <w:color w:val="31849B"/>
              <w:sz w:val="24"/>
              <w:szCs w:val="24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1009650</wp:posOffset>
                </wp:positionH>
                <wp:positionV relativeFrom="paragraph">
                  <wp:posOffset>504825</wp:posOffset>
                </wp:positionV>
                <wp:extent cx="3932555" cy="2390775"/>
                <wp:effectExtent l="0" t="0" r="0" b="9525"/>
                <wp:wrapThrough wrapText="bothSides">
                  <wp:wrapPolygon edited="0">
                    <wp:start x="0" y="0"/>
                    <wp:lineTo x="0" y="21514"/>
                    <wp:lineTo x="21450" y="21514"/>
                    <wp:lineTo x="21450" y="0"/>
                    <wp:lineTo x="0" y="0"/>
                  </wp:wrapPolygon>
                </wp:wrapThrough>
                <wp:docPr id="31" name="Picture 2" descr="JohnsonCollegeNe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ohnsonCollegeNew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2555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>
                    <wp:simplePos x="0" y="0"/>
                    <wp:positionH relativeFrom="page">
                      <wp:posOffset>228600</wp:posOffset>
                    </wp:positionH>
                    <wp:positionV relativeFrom="page">
                      <wp:posOffset>5295899</wp:posOffset>
                    </wp:positionV>
                    <wp:extent cx="7315200" cy="1368425"/>
                    <wp:effectExtent l="0" t="0" r="0" b="3175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3684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51C5E" w:rsidRDefault="003D4D29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48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851C5E" w:rsidRPr="00851C5E">
                                      <w:rPr>
                                        <w:caps/>
                                        <w:color w:val="5B9BD5" w:themeColor="accent1"/>
                                        <w:sz w:val="48"/>
                                        <w:szCs w:val="64"/>
                                      </w:rPr>
                                      <w:t>Academic syllabus review process</w:t>
                                    </w:r>
                                  </w:sdtContent>
                                </w:sdt>
                              </w:p>
                              <w:p w:rsidR="00851C5E" w:rsidRDefault="00851C5E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margin-left:18pt;margin-top:417pt;width:8in;height:107.75pt;z-index:25168896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" filled="f" stroked="f" strokeweight=".5pt">
                    <v:textbox inset="126pt,0,54pt,0">
                      <w:txbxContent>
                        <w:p w:rsidR="00851C5E" w:rsidRDefault="008B59BD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48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851C5E" w:rsidRPr="00851C5E">
                                <w:rPr>
                                  <w:caps/>
                                  <w:color w:val="5B9BD5" w:themeColor="accent1"/>
                                  <w:sz w:val="48"/>
                                  <w:szCs w:val="64"/>
                                </w:rPr>
                                <w:t>Academic syllabus review process</w:t>
                              </w:r>
                            </w:sdtContent>
                          </w:sdt>
                        </w:p>
                        <w:p w:rsidR="00851C5E" w:rsidRDefault="00851C5E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:rsidR="005C30FD" w:rsidRDefault="0065258D" w:rsidP="0065258D">
      <w:pPr>
        <w:pStyle w:val="Heading1"/>
      </w:pPr>
      <w:bookmarkStart w:id="0" w:name="_Toc509398613"/>
      <w:r>
        <w:lastRenderedPageBreak/>
        <w:t>Syllabi Review</w:t>
      </w:r>
      <w:bookmarkEnd w:id="0"/>
    </w:p>
    <w:p w:rsidR="0065258D" w:rsidRDefault="0065258D" w:rsidP="0065258D">
      <w:pPr>
        <w:pStyle w:val="Heading2"/>
      </w:pPr>
      <w:bookmarkStart w:id="1" w:name="_Toc509398614"/>
      <w:r>
        <w:t>Introduction</w:t>
      </w:r>
      <w:bookmarkEnd w:id="1"/>
    </w:p>
    <w:p w:rsidR="0065258D" w:rsidRDefault="0065258D" w:rsidP="0065258D">
      <w:r>
        <w:t xml:space="preserve">As part of each assessment cycle, selected course syllabi will be collected and reviewed by </w:t>
      </w:r>
      <w:r w:rsidR="00EF562B">
        <w:t>the Johnson College Assessment Team (JCAT)</w:t>
      </w:r>
      <w:r>
        <w:t xml:space="preserve"> to ensure that the syllabi are coherent and comprehensive. This procedure was created as part of the closed loop academic assessment process at Johnson College. A syllabi review is essential for Johnson College since syllabi are technically legal documents, meaning, they will be the ultimate deciding point in any grievance proceeding.</w:t>
      </w:r>
    </w:p>
    <w:p w:rsidR="0065258D" w:rsidRDefault="0065258D" w:rsidP="0065258D">
      <w:r>
        <w:t xml:space="preserve">Over the course of your Academic Assessment Timeline, </w:t>
      </w:r>
      <w:r w:rsidR="00EF562B">
        <w:t xml:space="preserve">JCAT will </w:t>
      </w:r>
      <w:r>
        <w:t>complete a robust review of</w:t>
      </w:r>
      <w:r w:rsidR="00EF562B">
        <w:t xml:space="preserve"> selected</w:t>
      </w:r>
      <w:r>
        <w:t xml:space="preserve"> course syllabi. Following the suggested procedure will ensure that all of your syllabi will function properly.</w:t>
      </w:r>
    </w:p>
    <w:p w:rsidR="0065258D" w:rsidRDefault="0065258D" w:rsidP="0065258D">
      <w:pPr>
        <w:pStyle w:val="Heading2"/>
      </w:pPr>
      <w:bookmarkStart w:id="2" w:name="_Toc509398615"/>
      <w:r>
        <w:t>Procedure</w:t>
      </w:r>
      <w:bookmarkEnd w:id="2"/>
    </w:p>
    <w:p w:rsidR="00E36FF4" w:rsidRDefault="0065258D" w:rsidP="0065258D">
      <w:r>
        <w:t>Please use the attached Syllabus Review Checklist</w:t>
      </w:r>
      <w:r w:rsidR="005E400F">
        <w:t xml:space="preserve"> </w:t>
      </w:r>
      <w:r>
        <w:t xml:space="preserve">to </w:t>
      </w:r>
      <w:r w:rsidR="00A33D62">
        <w:t>ensure</w:t>
      </w:r>
      <w:r>
        <w:t xml:space="preserve"> that </w:t>
      </w:r>
      <w:r w:rsidR="00A33D62">
        <w:t>all</w:t>
      </w:r>
      <w:r>
        <w:t xml:space="preserve"> included </w:t>
      </w:r>
      <w:r w:rsidR="00A33D62">
        <w:t>syllabi requirements are present</w:t>
      </w:r>
      <w:r>
        <w:t xml:space="preserve">. </w:t>
      </w:r>
      <w:r w:rsidR="008B59BD">
        <w:t>K</w:t>
      </w:r>
      <w:r>
        <w:t>eep in mind that</w:t>
      </w:r>
      <w:r w:rsidR="00E36FF4">
        <w:t xml:space="preserve"> the </w:t>
      </w:r>
      <w:r>
        <w:t>information</w:t>
      </w:r>
      <w:r w:rsidR="00E36FF4">
        <w:t xml:space="preserve"> must be comprehensive so students are aware of what the instructor expects of them. </w:t>
      </w:r>
    </w:p>
    <w:p w:rsidR="0065258D" w:rsidRDefault="00A33D62" w:rsidP="0065258D">
      <w:r>
        <w:t>A</w:t>
      </w:r>
      <w:r w:rsidR="0065258D">
        <w:t xml:space="preserve"> copy of each of </w:t>
      </w:r>
      <w:r>
        <w:t>each</w:t>
      </w:r>
      <w:r w:rsidR="0065258D">
        <w:t xml:space="preserve"> syllabi </w:t>
      </w:r>
      <w:r>
        <w:t xml:space="preserve">must be submitted </w:t>
      </w:r>
      <w:r w:rsidR="0065258D">
        <w:t xml:space="preserve">to </w:t>
      </w:r>
      <w:r>
        <w:t>the</w:t>
      </w:r>
      <w:r w:rsidR="0065258D">
        <w:t xml:space="preserve"> department chair </w:t>
      </w:r>
      <w:r w:rsidR="008B59BD">
        <w:t>prior to</w:t>
      </w:r>
      <w:r w:rsidR="0065258D">
        <w:t xml:space="preserve"> the first week of </w:t>
      </w:r>
      <w:r>
        <w:t>classes each semester.</w:t>
      </w:r>
    </w:p>
    <w:p w:rsidR="0065258D" w:rsidRDefault="0065258D" w:rsidP="0065258D">
      <w:r>
        <w:t xml:space="preserve">If any syllabus needs improvement, </w:t>
      </w:r>
      <w:r w:rsidR="005E400F">
        <w:t>the Department Chair will meet with the faculty/instructor</w:t>
      </w:r>
      <w:r w:rsidR="0009728D">
        <w:t xml:space="preserve">. </w:t>
      </w:r>
      <w:r>
        <w:t>Items that need improvement will be noted on the Syllabus Re</w:t>
      </w:r>
      <w:r w:rsidR="0009728D">
        <w:t xml:space="preserve">view Checklist, and </w:t>
      </w:r>
      <w:r w:rsidR="005E400F">
        <w:t>requested changes will be made within one week and returned to the Department Chair.</w:t>
      </w:r>
    </w:p>
    <w:p w:rsidR="0065258D" w:rsidRDefault="0065258D" w:rsidP="0065258D">
      <w:r>
        <w:t>Once a revised syllabus has been approved, make new copies i</w:t>
      </w:r>
      <w:r w:rsidR="0009728D">
        <w:t xml:space="preserve">mmediately, and distribute them </w:t>
      </w:r>
      <w:r>
        <w:t>to your students.</w:t>
      </w:r>
    </w:p>
    <w:p w:rsidR="005E400F" w:rsidRDefault="005E400F" w:rsidP="005E400F">
      <w:pPr>
        <w:pStyle w:val="Heading2"/>
      </w:pPr>
      <w:bookmarkStart w:id="3" w:name="_Toc509398616"/>
      <w:r>
        <w:t>Protocol</w:t>
      </w:r>
      <w:bookmarkEnd w:id="3"/>
    </w:p>
    <w:p w:rsidR="005E400F" w:rsidRDefault="005E400F" w:rsidP="005E400F">
      <w:r>
        <w:t xml:space="preserve">The syllabus review process has </w:t>
      </w:r>
      <w:r w:rsidR="00E91403">
        <w:t>six</w:t>
      </w:r>
      <w:r>
        <w:t xml:space="preserve"> steps</w:t>
      </w:r>
      <w:r w:rsidR="00E36FF4">
        <w:t>:</w:t>
      </w:r>
    </w:p>
    <w:p w:rsidR="002B5F20" w:rsidRDefault="00E36FF4" w:rsidP="0065258D">
      <w:r>
        <w:t>Step 1: The program director will supply printed copies of all program syllabi to JCAT.</w:t>
      </w:r>
    </w:p>
    <w:p w:rsidR="00E36FF4" w:rsidRDefault="00E36FF4" w:rsidP="0065258D">
      <w:r>
        <w:t>Step 2: JCAT will randomly select approximately 33% of the syllabi for review.</w:t>
      </w:r>
    </w:p>
    <w:p w:rsidR="00E36FF4" w:rsidRDefault="00E36FF4" w:rsidP="0065258D">
      <w:r>
        <w:t>Step 3: Using the attached checklist, syllabi will be reviewed for completeness and clarity, keeping in mind the unique backgrounds</w:t>
      </w:r>
      <w:r w:rsidR="00E91403">
        <w:t xml:space="preserve"> of those students who are underrepresented in higher education.</w:t>
      </w:r>
    </w:p>
    <w:p w:rsidR="00E36FF4" w:rsidRDefault="00E36FF4" w:rsidP="0065258D">
      <w:r>
        <w:t xml:space="preserve">Step 4: </w:t>
      </w:r>
      <w:r w:rsidR="00E91403">
        <w:t>JCAT will compile the checklists and associated comments and will return them to the program director.</w:t>
      </w:r>
    </w:p>
    <w:p w:rsidR="00E91403" w:rsidRDefault="00E91403" w:rsidP="0065258D">
      <w:r>
        <w:t>Step 5: The program director and department faculty will work to correct any issues found in the syllabi and will review the remaining 67% of syllabi to identify similar issue that may be prevalent throughout the program.</w:t>
      </w:r>
    </w:p>
    <w:p w:rsidR="0010052C" w:rsidRDefault="00E91403" w:rsidP="0065258D">
      <w:pPr>
        <w:sectPr w:rsidR="0010052C" w:rsidSect="00851C5E">
          <w:headerReference w:type="default" r:id="rId13"/>
          <w:footerReference w:type="default" r:id="rId14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t>Step 6: Upon completion of the internal review, the program director will notify JCAT in writing that a full review was completed and any identified issues were corrected.</w:t>
      </w:r>
    </w:p>
    <w:p w:rsidR="0010052C" w:rsidRDefault="0010052C">
      <w:r>
        <w:br w:type="page"/>
      </w:r>
    </w:p>
    <w:p w:rsidR="002B5F20" w:rsidRDefault="002B5F20" w:rsidP="0065258D">
      <w:pPr>
        <w:sectPr w:rsidR="002B5F20" w:rsidSect="0010052C">
          <w:type w:val="continuous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10052C" w:rsidRPr="0041012B" w:rsidRDefault="003D4D29" w:rsidP="0041012B">
      <w:pPr>
        <w:pStyle w:val="Heading2"/>
        <w:spacing w:after="240"/>
        <w:ind w:firstLine="720"/>
        <w:jc w:val="center"/>
        <w:rPr>
          <w:b/>
          <w:color w:val="auto"/>
        </w:rPr>
      </w:pPr>
      <w:bookmarkStart w:id="4" w:name="_Toc509398617"/>
      <w:r>
        <w:rPr>
          <w:b/>
          <w:color w:val="auto"/>
        </w:rPr>
        <w:lastRenderedPageBreak/>
        <w:t>Program</w:t>
      </w:r>
      <w:r w:rsidR="0041012B">
        <w:rPr>
          <w:b/>
          <w:color w:val="auto"/>
        </w:rPr>
        <w:t xml:space="preserve">: </w:t>
      </w:r>
      <w:r w:rsidR="0010052C">
        <w:rPr>
          <w:b/>
          <w:color w:val="auto"/>
        </w:rPr>
        <w:t>___________________</w:t>
      </w:r>
      <w:r w:rsidR="0010052C">
        <w:rPr>
          <w:b/>
          <w:color w:val="auto"/>
        </w:rPr>
        <w:tab/>
        <w:t xml:space="preserve">Semester/Year: ________________ </w:t>
      </w:r>
      <w:r w:rsidR="0010052C">
        <w:rPr>
          <w:b/>
          <w:color w:val="auto"/>
        </w:rPr>
        <w:tab/>
        <w:t>Revi</w:t>
      </w:r>
      <w:bookmarkStart w:id="5" w:name="_GoBack"/>
      <w:bookmarkEnd w:id="5"/>
      <w:r w:rsidR="0010052C">
        <w:rPr>
          <w:b/>
          <w:color w:val="auto"/>
        </w:rPr>
        <w:t>ewed By: _____________________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555"/>
        <w:gridCol w:w="720"/>
        <w:gridCol w:w="592"/>
        <w:gridCol w:w="566"/>
        <w:gridCol w:w="704"/>
        <w:gridCol w:w="704"/>
        <w:gridCol w:w="704"/>
        <w:gridCol w:w="704"/>
        <w:gridCol w:w="704"/>
        <w:gridCol w:w="704"/>
        <w:gridCol w:w="738"/>
      </w:tblGrid>
      <w:tr w:rsidR="0010052C" w:rsidRPr="00A46D9B" w:rsidTr="003D4D29">
        <w:tc>
          <w:tcPr>
            <w:tcW w:w="7555" w:type="dxa"/>
          </w:tcPr>
          <w:p w:rsidR="0010052C" w:rsidRPr="00A46D9B" w:rsidRDefault="008E43C1" w:rsidP="008E43C1">
            <w:pPr>
              <w:numPr>
                <w:ilvl w:val="0"/>
                <w:numId w:val="1"/>
              </w:numPr>
            </w:pPr>
            <w:r>
              <w:t>Course name and identifier</w:t>
            </w:r>
            <w:r w:rsidR="0010052C" w:rsidRPr="00A46D9B">
              <w:t xml:space="preserve">                                                                                             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>
              <w:t xml:space="preserve">Course prerequisites </w:t>
            </w:r>
            <w:r w:rsidR="008E43C1">
              <w:t>and/or co-requisites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Instructor’s name, office location &amp; phone number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Instructor’s office hours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Lab or Lecture section(s) time &amp; place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Course Overview</w:t>
            </w:r>
            <w:r>
              <w:t xml:space="preserve"> matches the </w:t>
            </w:r>
            <w:r w:rsidRPr="00A46D9B">
              <w:t xml:space="preserve">description </w:t>
            </w:r>
            <w:r>
              <w:t>from the</w:t>
            </w:r>
            <w:r w:rsidRPr="00A46D9B">
              <w:t xml:space="preserve"> course catalog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 xml:space="preserve">Course Objectives </w:t>
            </w:r>
            <w:r>
              <w:t>are appropriate and measureable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Textboo</w:t>
            </w:r>
            <w:r>
              <w:t>ks and other required/recommended materials</w:t>
            </w:r>
            <w:r w:rsidR="008B59BD">
              <w:t xml:space="preserve"> are listed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8E43C1" w:rsidP="0010052C">
            <w:pPr>
              <w:numPr>
                <w:ilvl w:val="0"/>
                <w:numId w:val="1"/>
              </w:numPr>
            </w:pPr>
            <w:r>
              <w:t>Instructional Strategies Statement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 xml:space="preserve">Detailed description of how grades are calculated 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>
              <w:t>Attendance Policy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Default="0010052C" w:rsidP="0010052C">
            <w:pPr>
              <w:numPr>
                <w:ilvl w:val="0"/>
                <w:numId w:val="1"/>
              </w:numPr>
            </w:pPr>
            <w:r>
              <w:t>Late Work Policy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8E43C1" w:rsidRPr="00A46D9B" w:rsidTr="003D4D29">
        <w:tc>
          <w:tcPr>
            <w:tcW w:w="7555" w:type="dxa"/>
          </w:tcPr>
          <w:p w:rsidR="008E43C1" w:rsidRDefault="008E43C1" w:rsidP="0010052C">
            <w:pPr>
              <w:numPr>
                <w:ilvl w:val="0"/>
                <w:numId w:val="1"/>
              </w:numPr>
            </w:pPr>
            <w:r>
              <w:t>Drop Date listed (the actual date for that semester should be provided)</w:t>
            </w:r>
          </w:p>
        </w:tc>
        <w:tc>
          <w:tcPr>
            <w:tcW w:w="720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8E43C1" w:rsidRPr="00A46D9B" w:rsidRDefault="008E43C1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Default="008E43C1" w:rsidP="008E43C1">
            <w:pPr>
              <w:numPr>
                <w:ilvl w:val="0"/>
                <w:numId w:val="1"/>
              </w:numPr>
            </w:pPr>
            <w:r>
              <w:t>R</w:t>
            </w:r>
            <w:r w:rsidR="0010052C" w:rsidRPr="00A46D9B">
              <w:t xml:space="preserve">esources </w:t>
            </w:r>
            <w:r>
              <w:t xml:space="preserve"> for students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ADA Statement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Student Services</w:t>
            </w:r>
            <w:r>
              <w:t xml:space="preserve"> </w:t>
            </w:r>
            <w:r w:rsidR="008B59BD">
              <w:t xml:space="preserve">statement 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8E43C1">
            <w:pPr>
              <w:numPr>
                <w:ilvl w:val="0"/>
                <w:numId w:val="1"/>
              </w:numPr>
            </w:pPr>
            <w:r w:rsidRPr="00A46D9B">
              <w:t>Academic Integrity</w:t>
            </w:r>
            <w:r>
              <w:t xml:space="preserve"> </w:t>
            </w:r>
            <w:r w:rsidR="008B59BD">
              <w:t>statement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8E43C1" w:rsidP="0010052C">
            <w:pPr>
              <w:numPr>
                <w:ilvl w:val="0"/>
                <w:numId w:val="1"/>
              </w:numPr>
            </w:pPr>
            <w:r>
              <w:t>Diversity statement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8E43C1">
            <w:pPr>
              <w:numPr>
                <w:ilvl w:val="0"/>
                <w:numId w:val="1"/>
              </w:numPr>
            </w:pPr>
            <w:r w:rsidRPr="00A46D9B">
              <w:t xml:space="preserve"> Course </w:t>
            </w:r>
            <w:r w:rsidR="008E43C1">
              <w:t>Outline</w:t>
            </w:r>
            <w:r w:rsidRPr="00A46D9B">
              <w:t xml:space="preserve">: In what sequence will the course content be taught?  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Are assignments connected to lea</w:t>
            </w:r>
            <w:r>
              <w:t>rning objectives</w:t>
            </w:r>
            <w:r w:rsidRPr="00A46D9B">
              <w:t xml:space="preserve">?  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>
              <w:t>Are r</w:t>
            </w:r>
            <w:r w:rsidRPr="00A46D9B">
              <w:t>ubrics</w:t>
            </w:r>
            <w:r>
              <w:t xml:space="preserve"> attached (if applicable)?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10052C" w:rsidRPr="00A46D9B" w:rsidTr="003D4D29">
        <w:tc>
          <w:tcPr>
            <w:tcW w:w="7555" w:type="dxa"/>
          </w:tcPr>
          <w:p w:rsidR="0010052C" w:rsidRPr="00A46D9B" w:rsidRDefault="0010052C" w:rsidP="0010052C">
            <w:pPr>
              <w:numPr>
                <w:ilvl w:val="0"/>
                <w:numId w:val="1"/>
              </w:numPr>
            </w:pPr>
            <w:r w:rsidRPr="00A46D9B">
              <w:t>Syllabus Acknowledgement Form</w:t>
            </w:r>
          </w:p>
        </w:tc>
        <w:tc>
          <w:tcPr>
            <w:tcW w:w="720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10052C" w:rsidRPr="00A46D9B" w:rsidRDefault="0010052C" w:rsidP="00021D5B">
            <w:pPr>
              <w:ind w:left="360"/>
              <w:jc w:val="center"/>
            </w:pPr>
          </w:p>
        </w:tc>
      </w:tr>
      <w:tr w:rsidR="00764364" w:rsidRPr="00A46D9B" w:rsidTr="003D4D29">
        <w:tc>
          <w:tcPr>
            <w:tcW w:w="7555" w:type="dxa"/>
          </w:tcPr>
          <w:p w:rsidR="00764364" w:rsidRPr="00A46D9B" w:rsidRDefault="00764364" w:rsidP="0010052C">
            <w:pPr>
              <w:numPr>
                <w:ilvl w:val="0"/>
                <w:numId w:val="1"/>
              </w:numPr>
            </w:pPr>
            <w:r>
              <w:t>Mission statement included in the footer</w:t>
            </w:r>
          </w:p>
        </w:tc>
        <w:tc>
          <w:tcPr>
            <w:tcW w:w="720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592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566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04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  <w:tc>
          <w:tcPr>
            <w:tcW w:w="738" w:type="dxa"/>
            <w:vAlign w:val="center"/>
          </w:tcPr>
          <w:p w:rsidR="00764364" w:rsidRPr="00A46D9B" w:rsidRDefault="00764364" w:rsidP="00021D5B">
            <w:pPr>
              <w:ind w:left="360"/>
              <w:jc w:val="center"/>
            </w:pPr>
          </w:p>
        </w:tc>
      </w:tr>
      <w:tr w:rsidR="0010052C" w:rsidRPr="00A46D9B" w:rsidTr="00021D5B">
        <w:tc>
          <w:tcPr>
            <w:tcW w:w="14395" w:type="dxa"/>
            <w:gridSpan w:val="11"/>
          </w:tcPr>
          <w:p w:rsidR="0010052C" w:rsidRDefault="0010052C" w:rsidP="00021D5B">
            <w:r>
              <w:t>Comments:</w:t>
            </w:r>
          </w:p>
          <w:p w:rsidR="0010052C" w:rsidRDefault="0010052C" w:rsidP="00021D5B"/>
          <w:p w:rsidR="002D1FEF" w:rsidRDefault="002D1FEF" w:rsidP="00021D5B"/>
          <w:p w:rsidR="008B59BD" w:rsidRDefault="008B59BD" w:rsidP="00021D5B"/>
          <w:p w:rsidR="002D1FEF" w:rsidRDefault="002D1FEF" w:rsidP="00021D5B"/>
          <w:p w:rsidR="0010052C" w:rsidRDefault="0010052C" w:rsidP="00021D5B"/>
          <w:p w:rsidR="0010052C" w:rsidRPr="00A46D9B" w:rsidRDefault="0010052C" w:rsidP="00021D5B">
            <w:pPr>
              <w:ind w:left="360"/>
              <w:jc w:val="center"/>
            </w:pPr>
          </w:p>
        </w:tc>
      </w:tr>
    </w:tbl>
    <w:p w:rsidR="0010052C" w:rsidRPr="00A46D9B" w:rsidRDefault="0010052C" w:rsidP="002D1FEF">
      <w:pPr>
        <w:spacing w:after="0" w:line="240" w:lineRule="auto"/>
      </w:pPr>
    </w:p>
    <w:bookmarkEnd w:id="4"/>
    <w:sectPr w:rsidR="0010052C" w:rsidRPr="00A46D9B" w:rsidSect="002D1FEF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65" w:rsidRDefault="00655265" w:rsidP="0064401D">
      <w:pPr>
        <w:spacing w:after="0" w:line="240" w:lineRule="auto"/>
      </w:pPr>
      <w:r>
        <w:separator/>
      </w:r>
    </w:p>
  </w:endnote>
  <w:endnote w:type="continuationSeparator" w:id="0">
    <w:p w:rsidR="00655265" w:rsidRDefault="00655265" w:rsidP="0064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646211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3107B" w:rsidRDefault="007310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D2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v3.5.19</w:t>
        </w:r>
      </w:p>
    </w:sdtContent>
  </w:sdt>
  <w:p w:rsidR="007E5326" w:rsidRDefault="007E5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65" w:rsidRDefault="00655265" w:rsidP="0064401D">
      <w:pPr>
        <w:spacing w:after="0" w:line="240" w:lineRule="auto"/>
      </w:pPr>
      <w:r>
        <w:separator/>
      </w:r>
    </w:p>
  </w:footnote>
  <w:footnote w:type="continuationSeparator" w:id="0">
    <w:p w:rsidR="00655265" w:rsidRDefault="00655265" w:rsidP="0064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3C1" w:rsidRPr="0041012B" w:rsidRDefault="008E43C1" w:rsidP="008E43C1">
    <w:pPr>
      <w:pStyle w:val="Header"/>
      <w:jc w:val="center"/>
      <w:rPr>
        <w:b/>
        <w:sz w:val="28"/>
      </w:rPr>
    </w:pPr>
    <w:r w:rsidRPr="0041012B">
      <w:rPr>
        <w:b/>
        <w:sz w:val="28"/>
      </w:rPr>
      <w:t>Course Syllabus Checklist</w:t>
    </w:r>
  </w:p>
  <w:p w:rsidR="0041012B" w:rsidRDefault="0041012B" w:rsidP="008E43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215"/>
    <w:multiLevelType w:val="hybridMultilevel"/>
    <w:tmpl w:val="9EC8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125F"/>
    <w:multiLevelType w:val="hybridMultilevel"/>
    <w:tmpl w:val="9EC8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7CE2"/>
    <w:multiLevelType w:val="hybridMultilevel"/>
    <w:tmpl w:val="7A465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AE4DEC"/>
    <w:multiLevelType w:val="hybridMultilevel"/>
    <w:tmpl w:val="3A82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8529D"/>
    <w:multiLevelType w:val="hybridMultilevel"/>
    <w:tmpl w:val="35F090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8D"/>
    <w:rsid w:val="0009728D"/>
    <w:rsid w:val="0010052C"/>
    <w:rsid w:val="002B5F20"/>
    <w:rsid w:val="002D1FEF"/>
    <w:rsid w:val="00315E64"/>
    <w:rsid w:val="003D4D29"/>
    <w:rsid w:val="0041012B"/>
    <w:rsid w:val="00520A15"/>
    <w:rsid w:val="005C30FD"/>
    <w:rsid w:val="005E400F"/>
    <w:rsid w:val="0064401D"/>
    <w:rsid w:val="0065258D"/>
    <w:rsid w:val="00655265"/>
    <w:rsid w:val="00674491"/>
    <w:rsid w:val="0073107B"/>
    <w:rsid w:val="00764364"/>
    <w:rsid w:val="007E5326"/>
    <w:rsid w:val="00851C5E"/>
    <w:rsid w:val="008B59BD"/>
    <w:rsid w:val="008E43C1"/>
    <w:rsid w:val="00A33D62"/>
    <w:rsid w:val="00CB10B9"/>
    <w:rsid w:val="00D92256"/>
    <w:rsid w:val="00E36FF4"/>
    <w:rsid w:val="00E91403"/>
    <w:rsid w:val="00EA6E5C"/>
    <w:rsid w:val="00E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DE7B5A"/>
  <w15:chartTrackingRefBased/>
  <w15:docId w15:val="{5B80D720-7BD1-4A6F-A59D-089FF764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2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5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01D"/>
  </w:style>
  <w:style w:type="paragraph" w:styleId="Footer">
    <w:name w:val="footer"/>
    <w:basedOn w:val="Normal"/>
    <w:link w:val="FooterChar"/>
    <w:uiPriority w:val="99"/>
    <w:unhideWhenUsed/>
    <w:rsid w:val="00644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01D"/>
  </w:style>
  <w:style w:type="paragraph" w:styleId="ListParagraph">
    <w:name w:val="List Paragraph"/>
    <w:basedOn w:val="Normal"/>
    <w:uiPriority w:val="34"/>
    <w:qFormat/>
    <w:rsid w:val="0064401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51C5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51C5E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51C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51C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51C5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51C5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cid:image001.jpg@01CC5828.FB9F9EE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Sr. Director of Institutional Research &amp; Assessment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10DEC6-37AF-461D-B365-B4692EF7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syllabus review process</vt:lpstr>
    </vt:vector>
  </TitlesOfParts>
  <Company>Johnson College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syllabus review process</dc:title>
  <dc:subject/>
  <dc:creator>Rachel Francis, Ph.D.</dc:creator>
  <cp:keywords/>
  <dc:description/>
  <cp:lastModifiedBy>Laura Little</cp:lastModifiedBy>
  <cp:revision>7</cp:revision>
  <dcterms:created xsi:type="dcterms:W3CDTF">2019-03-05T17:17:00Z</dcterms:created>
  <dcterms:modified xsi:type="dcterms:W3CDTF">2019-12-18T16:12:00Z</dcterms:modified>
</cp:coreProperties>
</file>