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5394538"/>
        <w:docPartObj>
          <w:docPartGallery w:val="Cover Pages"/>
          <w:docPartUnique/>
        </w:docPartObj>
      </w:sdtPr>
      <w:sdtEndPr/>
      <w:sdtContent>
        <w:p w:rsidR="00851C5E" w:rsidRDefault="00851C5E">
          <w:r>
            <w:rPr>
              <w:noProof/>
            </w:rPr>
            <mc:AlternateContent>
              <mc:Choice Requires="wpg">
                <w:drawing>
                  <wp:anchor distT="0" distB="0" distL="114300" distR="114300" simplePos="0" relativeHeight="25169203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9388A4E" id="Group 149" o:spid="_x0000_s1026" style="position:absolute;margin-left:0;margin-top:0;width:8in;height:95.7pt;z-index:2516920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851C5E" w:rsidRDefault="00224D5B">
          <w:r>
            <w:rPr>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ge">
                      <wp:posOffset>5334000</wp:posOffset>
                    </wp:positionV>
                    <wp:extent cx="5505450" cy="15525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550545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8DC" w:rsidRDefault="001D08DC" w:rsidP="0047375A">
                                <w:pPr>
                                  <w:spacing w:after="0"/>
                                  <w:ind w:left="-2070"/>
                                  <w:jc w:val="center"/>
                                  <w:rPr>
                                    <w:color w:val="5B9BD5" w:themeColor="accent1"/>
                                    <w:sz w:val="64"/>
                                    <w:szCs w:val="64"/>
                                  </w:rPr>
                                </w:pPr>
                                <w:r>
                                  <w:rPr>
                                    <w:color w:val="5B9BD5" w:themeColor="accent1"/>
                                    <w:sz w:val="64"/>
                                    <w:szCs w:val="64"/>
                                  </w:rPr>
                                  <w:t>Results</w:t>
                                </w:r>
                                <w:r w:rsidR="00224D5B">
                                  <w:rPr>
                                    <w:color w:val="5B9BD5" w:themeColor="accent1"/>
                                    <w:sz w:val="64"/>
                                    <w:szCs w:val="64"/>
                                  </w:rPr>
                                  <w:t>,</w:t>
                                </w:r>
                                <w:r>
                                  <w:rPr>
                                    <w:color w:val="5B9BD5" w:themeColor="accent1"/>
                                    <w:sz w:val="64"/>
                                    <w:szCs w:val="64"/>
                                  </w:rPr>
                                  <w:t xml:space="preserve"> Review</w:t>
                                </w:r>
                                <w:r w:rsidR="00224D5B">
                                  <w:rPr>
                                    <w:color w:val="5B9BD5" w:themeColor="accent1"/>
                                    <w:sz w:val="64"/>
                                    <w:szCs w:val="64"/>
                                  </w:rPr>
                                  <w:t>, and</w:t>
                                </w:r>
                                <w:r>
                                  <w:rPr>
                                    <w:color w:val="5B9BD5" w:themeColor="accent1"/>
                                    <w:sz w:val="64"/>
                                    <w:szCs w:val="64"/>
                                  </w:rPr>
                                  <w:t xml:space="preserve"> Recommendation (R3) </w:t>
                                </w:r>
                              </w:p>
                              <w:p w:rsidR="0047375A" w:rsidRDefault="0047375A" w:rsidP="0047375A">
                                <w:pPr>
                                  <w:spacing w:after="0"/>
                                  <w:ind w:left="-2070"/>
                                  <w:jc w:val="center"/>
                                  <w:rPr>
                                    <w:color w:val="5B9BD5" w:themeColor="accent1"/>
                                    <w:sz w:val="64"/>
                                    <w:szCs w:val="64"/>
                                  </w:rPr>
                                </w:pPr>
                                <w:r>
                                  <w:rPr>
                                    <w:color w:val="5B9BD5" w:themeColor="accent1"/>
                                    <w:sz w:val="64"/>
                                    <w:szCs w:val="64"/>
                                  </w:rPr>
                                  <w:t>For Academic Programs</w:t>
                                </w:r>
                              </w:p>
                              <w:p w:rsidR="001D08DC" w:rsidRDefault="001D08DC" w:rsidP="00224D5B">
                                <w:pPr>
                                  <w:ind w:left="-2070"/>
                                  <w:rPr>
                                    <w:color w:val="5B9BD5" w:themeColor="accent1"/>
                                    <w:sz w:val="64"/>
                                    <w:szCs w:val="64"/>
                                  </w:rPr>
                                </w:pPr>
                              </w:p>
                              <w:p w:rsidR="001D08DC" w:rsidRPr="005370A2" w:rsidRDefault="001D08DC" w:rsidP="00224D5B">
                                <w:pPr>
                                  <w:ind w:left="-2070"/>
                                  <w:jc w:val="right"/>
                                  <w:rPr>
                                    <w:b/>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382.3pt;margin-top:420pt;width:433.5pt;height:122.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wfgIAAGIFAAAOAAAAZHJzL2Uyb0RvYy54bWysVF1v0zAUfUfiP1h+Z2nHUqZq6VQ2DSFN&#10;Y2JDe3Yde41wfI3ttim/nmMn6cbgZYgX5+be4+P7fXbetYZtlQ8N2YpPjyacKSupbuxjxb/dX707&#10;5SxEYWthyKqK71Xg54u3b852bq6OaU2mVp6BxIb5zlV8HaObF0WQa9WKcEROWRg1+VZE/PrHovZi&#10;B/bWFMeTyazYka+dJ6lCgPayN/JF5tdayfhF66AiMxWHbzGfPp+rdBaLMzF/9MKtGzm4If7Bi1Y0&#10;Fo8eqC5FFGzjmz+o2kZ6CqTjkaS2IK0bqXIMiGY6eRHN3Vo4lWNBcoI7pCn8P1p5s731rKlRu/KE&#10;MytaFOledZF9pI4lHTK0c2EO4J0DNHYwAD3qA5Qp8E77Nn0REoMdud4f8pvoJJRlOSlPSpgkbNOy&#10;PC4/lImneLrufIifFLUsCRX3KGDOq9heh9hDR0h6zdJVY0wuorFsV/HZe/D/ZgG5sUmjcjsMNCmk&#10;3vUsxb1RCWPsV6WRjhxBUuRGVBfGs61ACwkplY05+MwLdEJpOPGaiwP+yavXXO7jGF8mGw+X28aS&#10;z9G/cLv+Prqsezxy/izuJMZu1Q2lXlG9R6U99dMSnLxqUI1rEeKt8BgPVBAjH7/g0IaQdRokztbk&#10;f/5Nn/DoWlg522HcKh5+bIRXnJnPFv08nU0mmGdMaP6F4LMwOy1Pk3o1qu2mvSBUYoq94mQWEzia&#10;UdSe2gcshWV6ECZhJZ6t+GoUL2I//1gqUi2XGYRhdCJe2zsnE3UqTGqz++5BeDf0YkQb39A4k2L+&#10;oiV7bLppabmJpJvcrym3fUKHnGOQc8cPSydtiuf/GfW0Ghe/AAAA//8DAFBLAwQUAAYACAAAACEA&#10;yQfAv94AAAAJAQAADwAAAGRycy9kb3ducmV2LnhtbEyPwU7DMBBE70j8g7VI3KgNpCUKcSqEgpDK&#10;qYWq4ubGixM1Xkex24a/ZznBbVYzmn1TLiffixOOsQuk4XamQCA1wXbkNHy8v9zkIGIyZE0fCDV8&#10;Y4RldXlRmsKGM63xtElOcAnFwmhoUxoKKWPTojdxFgYk9r7C6E3ic3TSjubM5b6Xd0otpDcd8YfW&#10;DPjcYnPYHL2GekWv+Obu3Sqjehfq+cFsP5XW11fT0yOIhFP6C8MvPqNDxUz7cCQbRa+BhyQNeaZY&#10;sJ0vHljsOafybA6yKuX/BdUPAAAA//8DAFBLAQItABQABgAIAAAAIQC2gziS/gAAAOEBAAATAAAA&#10;AAAAAAAAAAAAAAAAAABbQ29udGVudF9UeXBlc10ueG1sUEsBAi0AFAAGAAgAAAAhADj9If/WAAAA&#10;lAEAAAsAAAAAAAAAAAAAAAAALwEAAF9yZWxzLy5yZWxzUEsBAi0AFAAGAAgAAAAhAOMbWnB+AgAA&#10;YgUAAA4AAAAAAAAAAAAAAAAALgIAAGRycy9lMm9Eb2MueG1sUEsBAi0AFAAGAAgAAAAhAMkHwL/e&#10;AAAACQEAAA8AAAAAAAAAAAAAAAAA2AQAAGRycy9kb3ducmV2LnhtbFBLBQYAAAAABAAEAPMAAADj&#10;BQAAAAA=&#10;" filled="f" stroked="f" strokeweight=".5pt">
                    <v:textbox inset="126pt,0,54pt,0">
                      <w:txbxContent>
                        <w:p w:rsidR="001D08DC" w:rsidRDefault="001D08DC" w:rsidP="0047375A">
                          <w:pPr>
                            <w:spacing w:after="0"/>
                            <w:ind w:left="-2070"/>
                            <w:jc w:val="center"/>
                            <w:rPr>
                              <w:color w:val="5B9BD5" w:themeColor="accent1"/>
                              <w:sz w:val="64"/>
                              <w:szCs w:val="64"/>
                            </w:rPr>
                          </w:pPr>
                          <w:r>
                            <w:rPr>
                              <w:color w:val="5B9BD5" w:themeColor="accent1"/>
                              <w:sz w:val="64"/>
                              <w:szCs w:val="64"/>
                            </w:rPr>
                            <w:t>Results</w:t>
                          </w:r>
                          <w:r w:rsidR="00224D5B">
                            <w:rPr>
                              <w:color w:val="5B9BD5" w:themeColor="accent1"/>
                              <w:sz w:val="64"/>
                              <w:szCs w:val="64"/>
                            </w:rPr>
                            <w:t>,</w:t>
                          </w:r>
                          <w:r>
                            <w:rPr>
                              <w:color w:val="5B9BD5" w:themeColor="accent1"/>
                              <w:sz w:val="64"/>
                              <w:szCs w:val="64"/>
                            </w:rPr>
                            <w:t xml:space="preserve"> Review</w:t>
                          </w:r>
                          <w:r w:rsidR="00224D5B">
                            <w:rPr>
                              <w:color w:val="5B9BD5" w:themeColor="accent1"/>
                              <w:sz w:val="64"/>
                              <w:szCs w:val="64"/>
                            </w:rPr>
                            <w:t>, and</w:t>
                          </w:r>
                          <w:r>
                            <w:rPr>
                              <w:color w:val="5B9BD5" w:themeColor="accent1"/>
                              <w:sz w:val="64"/>
                              <w:szCs w:val="64"/>
                            </w:rPr>
                            <w:t xml:space="preserve"> Recommendation (R3) </w:t>
                          </w:r>
                        </w:p>
                        <w:p w:rsidR="0047375A" w:rsidRDefault="0047375A" w:rsidP="0047375A">
                          <w:pPr>
                            <w:spacing w:after="0"/>
                            <w:ind w:left="-2070"/>
                            <w:jc w:val="center"/>
                            <w:rPr>
                              <w:color w:val="5B9BD5" w:themeColor="accent1"/>
                              <w:sz w:val="64"/>
                              <w:szCs w:val="64"/>
                            </w:rPr>
                          </w:pPr>
                          <w:r>
                            <w:rPr>
                              <w:color w:val="5B9BD5" w:themeColor="accent1"/>
                              <w:sz w:val="64"/>
                              <w:szCs w:val="64"/>
                            </w:rPr>
                            <w:t>For Academic Programs</w:t>
                          </w:r>
                        </w:p>
                        <w:p w:rsidR="001D08DC" w:rsidRDefault="001D08DC" w:rsidP="00224D5B">
                          <w:pPr>
                            <w:ind w:left="-2070"/>
                            <w:rPr>
                              <w:color w:val="5B9BD5" w:themeColor="accent1"/>
                              <w:sz w:val="64"/>
                              <w:szCs w:val="64"/>
                            </w:rPr>
                          </w:pPr>
                        </w:p>
                        <w:p w:rsidR="001D08DC" w:rsidRPr="005370A2" w:rsidRDefault="001D08DC" w:rsidP="00224D5B">
                          <w:pPr>
                            <w:ind w:left="-2070"/>
                            <w:jc w:val="right"/>
                            <w:rPr>
                              <w:b/>
                              <w:smallCaps/>
                              <w:color w:val="404040" w:themeColor="text1" w:themeTint="BF"/>
                              <w:sz w:val="36"/>
                              <w:szCs w:val="36"/>
                            </w:rPr>
                          </w:pPr>
                        </w:p>
                      </w:txbxContent>
                    </v:textbox>
                    <w10:wrap type="square" anchorx="margin" anchory="page"/>
                  </v:shape>
                </w:pict>
              </mc:Fallback>
            </mc:AlternateContent>
          </w:r>
          <w:r w:rsidR="00A571D7" w:rsidRPr="00A571D7">
            <w:rPr>
              <w:noProof/>
            </w:rPr>
            <w:drawing>
              <wp:anchor distT="0" distB="0" distL="114300" distR="114300" simplePos="0" relativeHeight="251695104" behindDoc="0" locked="0" layoutInCell="1" allowOverlap="1">
                <wp:simplePos x="0" y="0"/>
                <wp:positionH relativeFrom="margin">
                  <wp:align>right</wp:align>
                </wp:positionH>
                <wp:positionV relativeFrom="paragraph">
                  <wp:posOffset>457200</wp:posOffset>
                </wp:positionV>
                <wp:extent cx="5943600" cy="2724150"/>
                <wp:effectExtent l="0" t="0" r="0" b="0"/>
                <wp:wrapThrough wrapText="bothSides">
                  <wp:wrapPolygon edited="0">
                    <wp:start x="0" y="0"/>
                    <wp:lineTo x="0" y="21449"/>
                    <wp:lineTo x="21531" y="21449"/>
                    <wp:lineTo x="21531" y="0"/>
                    <wp:lineTo x="0" y="0"/>
                  </wp:wrapPolygon>
                </wp:wrapThrough>
                <wp:docPr id="128" name="Picture 128" descr="S:\general\Logos\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eneral\Logos\Horizonta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anchor>
            </w:drawing>
          </w:r>
          <w:r w:rsidR="00851C5E">
            <w:br w:type="page"/>
          </w:r>
        </w:p>
      </w:sdtContent>
    </w:sdt>
    <w:p w:rsidR="005C30FD" w:rsidRDefault="005370A2" w:rsidP="00FD716B">
      <w:pPr>
        <w:pStyle w:val="Heading1"/>
        <w:jc w:val="center"/>
      </w:pPr>
      <w:bookmarkStart w:id="0" w:name="_Toc1727797"/>
      <w:r>
        <w:lastRenderedPageBreak/>
        <w:t>Results</w:t>
      </w:r>
      <w:r w:rsidR="00652C74">
        <w:t>,</w:t>
      </w:r>
      <w:r w:rsidR="0065258D">
        <w:t xml:space="preserve"> Review</w:t>
      </w:r>
      <w:r w:rsidR="00652C74">
        <w:t>, and</w:t>
      </w:r>
      <w:r>
        <w:t xml:space="preserve"> </w:t>
      </w:r>
      <w:r w:rsidR="00A571D7">
        <w:t xml:space="preserve">Recommendation (R3) </w:t>
      </w:r>
      <w:r>
        <w:t>Process</w:t>
      </w:r>
      <w:bookmarkEnd w:id="0"/>
    </w:p>
    <w:p w:rsidR="0065258D" w:rsidRDefault="0065258D" w:rsidP="0065258D">
      <w:pPr>
        <w:pStyle w:val="Heading2"/>
      </w:pPr>
      <w:bookmarkStart w:id="1" w:name="_Toc1727798"/>
      <w:r>
        <w:t>Introduction</w:t>
      </w:r>
      <w:bookmarkEnd w:id="1"/>
    </w:p>
    <w:p w:rsidR="005370A2" w:rsidRDefault="00652C74" w:rsidP="005370A2">
      <w:r>
        <w:t xml:space="preserve">The </w:t>
      </w:r>
      <w:r w:rsidR="005370A2">
        <w:t>Johnson College</w:t>
      </w:r>
      <w:r>
        <w:t xml:space="preserve"> Results, Review, and Recommendation (R3) Process</w:t>
      </w:r>
      <w:r w:rsidR="005370A2" w:rsidRPr="005370A2">
        <w:t xml:space="preserve"> </w:t>
      </w:r>
      <w:r>
        <w:t>is</w:t>
      </w:r>
      <w:r w:rsidR="005370A2" w:rsidRPr="005370A2">
        <w:t xml:space="preserve"> structured to allow the program faculty and all levels of administration to regularly gauge the effectiveness and efficiency of </w:t>
      </w:r>
      <w:r w:rsidR="005370A2">
        <w:t>college</w:t>
      </w:r>
      <w:r w:rsidR="005370A2" w:rsidRPr="005370A2">
        <w:t xml:space="preserve"> academic programs</w:t>
      </w:r>
      <w:r w:rsidR="002D5FC3">
        <w:t xml:space="preserve"> and </w:t>
      </w:r>
      <w:r w:rsidRPr="00652C74">
        <w:t>Administrative, Educational, and Student Support</w:t>
      </w:r>
      <w:r>
        <w:t xml:space="preserve"> (AES)</w:t>
      </w:r>
      <w:r w:rsidRPr="00652C74">
        <w:t xml:space="preserve"> </w:t>
      </w:r>
      <w:r w:rsidR="002D5FC3">
        <w:t>Units</w:t>
      </w:r>
      <w:r w:rsidR="005370A2" w:rsidRPr="005370A2">
        <w:t xml:space="preserve">. </w:t>
      </w:r>
      <w:r w:rsidR="002D5FC3">
        <w:t>P</w:t>
      </w:r>
      <w:r w:rsidR="005370A2" w:rsidRPr="005370A2">
        <w:t>rograms</w:t>
      </w:r>
      <w:r w:rsidR="002D5FC3">
        <w:t xml:space="preserve"> and AES Units</w:t>
      </w:r>
      <w:r w:rsidR="005370A2" w:rsidRPr="005370A2">
        <w:t xml:space="preserve"> undergo review on a staggered, </w:t>
      </w:r>
      <w:r w:rsidR="005370A2">
        <w:t>five</w:t>
      </w:r>
      <w:r>
        <w:t>-year cycle according to the Assessment Cycle Timeline.</w:t>
      </w:r>
    </w:p>
    <w:p w:rsidR="0065258D" w:rsidRDefault="0065258D" w:rsidP="0065258D">
      <w:pPr>
        <w:pStyle w:val="Heading2"/>
      </w:pPr>
      <w:bookmarkStart w:id="2" w:name="_Toc1727799"/>
      <w:r>
        <w:t>Procedure</w:t>
      </w:r>
      <w:bookmarkEnd w:id="2"/>
    </w:p>
    <w:p w:rsidR="007A69F9" w:rsidRDefault="00652C74" w:rsidP="007A69F9">
      <w:r>
        <w:t xml:space="preserve">The </w:t>
      </w:r>
      <w:r w:rsidR="007A69F9">
        <w:t>Johnson College Assessment Team</w:t>
      </w:r>
      <w:r w:rsidR="00C95025">
        <w:t xml:space="preserve"> (JCAT)</w:t>
      </w:r>
      <w:r w:rsidR="007A69F9" w:rsidRPr="007A69F9">
        <w:t xml:space="preserve"> review</w:t>
      </w:r>
      <w:r w:rsidR="00FD716B">
        <w:t>s</w:t>
      </w:r>
      <w:r w:rsidR="007A69F9" w:rsidRPr="007A69F9">
        <w:t xml:space="preserve"> </w:t>
      </w:r>
      <w:r>
        <w:t xml:space="preserve">the assessment processes used by each department including the proper and robust use of templates, </w:t>
      </w:r>
      <w:r w:rsidR="0047382F">
        <w:t xml:space="preserve">use of </w:t>
      </w:r>
      <w:r w:rsidR="007A69F9" w:rsidRPr="007A69F9">
        <w:t>data</w:t>
      </w:r>
      <w:r w:rsidR="0047382F">
        <w:t xml:space="preserve"> in decision-making</w:t>
      </w:r>
      <w:r w:rsidR="007A69F9" w:rsidRPr="007A69F9">
        <w:t>,</w:t>
      </w:r>
      <w:r w:rsidR="0047382F">
        <w:t xml:space="preserve"> and progress toward goals and objectives.</w:t>
      </w:r>
      <w:r w:rsidR="007A69F9" w:rsidRPr="007A69F9">
        <w:t xml:space="preserve"> The attached Program Assessment Plan rubric</w:t>
      </w:r>
      <w:r w:rsidR="007A69F9">
        <w:t xml:space="preserve"> </w:t>
      </w:r>
      <w:r w:rsidR="007A69F9" w:rsidRPr="007A69F9">
        <w:t>is used to provide feedback to the programs on the use</w:t>
      </w:r>
      <w:r w:rsidR="007A69F9">
        <w:t xml:space="preserve"> of their assessment system. This process</w:t>
      </w:r>
      <w:r w:rsidR="007A69F9" w:rsidRPr="007A69F9">
        <w:t xml:space="preserve"> also reviews aggregated unit-level data such as Employer Surveys, </w:t>
      </w:r>
      <w:r w:rsidR="0047382F">
        <w:t>S</w:t>
      </w:r>
      <w:r w:rsidR="007A69F9">
        <w:t>tudent Engagement and</w:t>
      </w:r>
      <w:r w:rsidR="007A69F9" w:rsidRPr="007A69F9">
        <w:t xml:space="preserve"> Exit Surveys, and Graduate Follow-up Surveys</w:t>
      </w:r>
      <w:r w:rsidR="0047382F">
        <w:t xml:space="preserve"> to identify areas of strength and weakness</w:t>
      </w:r>
      <w:r w:rsidR="007A69F9" w:rsidRPr="007A69F9">
        <w:t xml:space="preserve">. The </w:t>
      </w:r>
      <w:r w:rsidR="007A69F9">
        <w:t>committee</w:t>
      </w:r>
      <w:r w:rsidR="007A69F9" w:rsidRPr="007A69F9">
        <w:t xml:space="preserve"> completes a Committee Data Review Form </w:t>
      </w:r>
      <w:r w:rsidR="00FD716B">
        <w:t>which</w:t>
      </w:r>
      <w:r w:rsidR="007A69F9" w:rsidRPr="007A69F9">
        <w:t xml:space="preserve"> provid</w:t>
      </w:r>
      <w:r>
        <w:t>es feedback to programs and AES Units</w:t>
      </w:r>
      <w:r w:rsidR="007A69F9" w:rsidRPr="007A69F9">
        <w:t xml:space="preserve">. </w:t>
      </w:r>
      <w:r w:rsidR="00FD716B">
        <w:t>Programs and AES Units will incorporate recommendations into their assessment processes moving forward.</w:t>
      </w:r>
    </w:p>
    <w:p w:rsidR="002B5F20" w:rsidRDefault="002B5F20" w:rsidP="0065258D"/>
    <w:p w:rsidR="002B5F20" w:rsidRDefault="002B5F20" w:rsidP="0065258D"/>
    <w:p w:rsidR="002B5F20" w:rsidRDefault="002B5F20" w:rsidP="0065258D"/>
    <w:p w:rsidR="0074498D" w:rsidRDefault="0074498D" w:rsidP="0065258D">
      <w:pPr>
        <w:sectPr w:rsidR="0074498D" w:rsidSect="00C3362C">
          <w:footerReference w:type="default" r:id="rId12"/>
          <w:footerReference w:type="first" r:id="rId13"/>
          <w:pgSz w:w="12240" w:h="15840"/>
          <w:pgMar w:top="1440" w:right="1440" w:bottom="1440" w:left="1440" w:header="720" w:footer="720" w:gutter="0"/>
          <w:pgNumType w:start="0"/>
          <w:cols w:space="720"/>
          <w:docGrid w:linePitch="360"/>
        </w:sectPr>
      </w:pPr>
    </w:p>
    <w:p w:rsidR="002B5F20" w:rsidRDefault="002B5F20" w:rsidP="0065258D">
      <w:pPr>
        <w:sectPr w:rsidR="002B5F20" w:rsidSect="0074498D">
          <w:type w:val="continuous"/>
          <w:pgSz w:w="12240" w:h="15840"/>
          <w:pgMar w:top="1440" w:right="1440" w:bottom="1440" w:left="1440" w:header="720" w:footer="720" w:gutter="0"/>
          <w:pgNumType w:start="0"/>
          <w:cols w:space="720"/>
          <w:titlePg/>
          <w:docGrid w:linePitch="360"/>
        </w:sectPr>
      </w:pPr>
    </w:p>
    <w:p w:rsidR="0047375A" w:rsidRDefault="0047375A">
      <w:pPr>
        <w:rPr>
          <w:b/>
        </w:rPr>
      </w:pPr>
      <w:r>
        <w:rPr>
          <w:b/>
        </w:rPr>
        <w:lastRenderedPageBreak/>
        <w:br w:type="page"/>
      </w:r>
    </w:p>
    <w:p w:rsidR="00BF1BBC" w:rsidRPr="00C3362C" w:rsidRDefault="0012520A" w:rsidP="0047375A">
      <w:pPr>
        <w:ind w:left="-360" w:right="-540"/>
        <w:rPr>
          <w:b/>
        </w:rPr>
      </w:pPr>
      <w:r>
        <w:rPr>
          <w:b/>
          <w:noProof/>
        </w:rPr>
        <w:lastRenderedPageBreak/>
        <mc:AlternateContent>
          <mc:Choice Requires="wps">
            <w:drawing>
              <wp:anchor distT="0" distB="0" distL="114300" distR="114300" simplePos="0" relativeHeight="251696128" behindDoc="0" locked="0" layoutInCell="1" allowOverlap="1">
                <wp:simplePos x="0" y="0"/>
                <wp:positionH relativeFrom="column">
                  <wp:posOffset>1885950</wp:posOffset>
                </wp:positionH>
                <wp:positionV relativeFrom="paragraph">
                  <wp:posOffset>161925</wp:posOffset>
                </wp:positionV>
                <wp:extent cx="1543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BCC7D" id="Straight Connector 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12.75pt" to="27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dAzAEAAAMEAAAOAAAAZHJzL2Uyb0RvYy54bWysU8GOEzEMvSPxD1HudKYLi9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vH33tr3lEejLXXMFRkr5&#10;I6AX5aeXzobSturU/lPKnIxDLyHl2IViEzo7PFjnqlMWBjaOxF7xqPOhlsy4F1HsFWRTGjmVXv/y&#10;0cGJ9SsYlqIUW7PXJbxyKq0h5AuvCxxdYIYrmIHtn4Hn+AKFuqB/A54RNTOGPIO9DUi/y36Vwpzi&#10;Lwqc+i4SPONwrEOt0vCmVcXPr6Ks8ku/wq9vd/0DAAD//wMAUEsDBBQABgAIAAAAIQB2gFmX3wAA&#10;AAkBAAAPAAAAZHJzL2Rvd25yZXYueG1sTI9BT8MwDIXvSPyHyEhcEEsZdBul6YQq7cIBaSuaOGaN&#10;11Q0TtVka/fvMeIAN/v56fl7+XpynTjjEFpPCh5mCQik2puWGgUf1eZ+BSJETUZ3nlDBBQOsi+ur&#10;XGfGj7TF8y42gkMoZFqBjbHPpAy1RafDzPdIfDv6wenI69BIM+iRw10n50mykE63xB+s7rG0WH/t&#10;Tk7BZ3P3uNlXVI1lfD8u7HTZv6WlUrc30+sLiIhT/DPDDz6jQ8FMB38iE0SnYP685C6RhzQFwYb0&#10;KWHh8CvIIpf/GxTfAAAA//8DAFBLAQItABQABgAIAAAAIQC2gziS/gAAAOEBAAATAAAAAAAAAAAA&#10;AAAAAAAAAABbQ29udGVudF9UeXBlc10ueG1sUEsBAi0AFAAGAAgAAAAhADj9If/WAAAAlAEAAAsA&#10;AAAAAAAAAAAAAAAALwEAAF9yZWxzLy5yZWxzUEsBAi0AFAAGAAgAAAAhAFCHl0DMAQAAAwQAAA4A&#10;AAAAAAAAAAAAAAAALgIAAGRycy9lMm9Eb2MueG1sUEsBAi0AFAAGAAgAAAAhAHaAWZffAAAACQEA&#10;AA8AAAAAAAAAAAAAAAAAJgQAAGRycy9kb3ducmV2LnhtbFBLBQYAAAAABAAEAPMAAAAyBQAAAAA=&#10;" strokecolor="black [3213]" strokeweight=".5pt">
                <v:stroke joinstyle="miter"/>
              </v:line>
            </w:pict>
          </mc:Fallback>
        </mc:AlternateContent>
      </w:r>
      <w:r>
        <w:rPr>
          <w:b/>
          <w:noProof/>
        </w:rPr>
        <mc:AlternateContent>
          <mc:Choice Requires="wps">
            <w:drawing>
              <wp:anchor distT="0" distB="0" distL="114300" distR="114300" simplePos="0" relativeHeight="251698176" behindDoc="0" locked="0" layoutInCell="1" allowOverlap="1" wp14:anchorId="63548A93" wp14:editId="3D551A18">
                <wp:simplePos x="0" y="0"/>
                <wp:positionH relativeFrom="column">
                  <wp:posOffset>4609465</wp:posOffset>
                </wp:positionH>
                <wp:positionV relativeFrom="paragraph">
                  <wp:posOffset>161925</wp:posOffset>
                </wp:positionV>
                <wp:extent cx="1362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362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145A2"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95pt,12.75pt" to="47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MF0QEAAAYEAAAOAAAAZHJzL2Uyb0RvYy54bWysU02P0zAQvSPxHyzfadKgLhA13UNXywVB&#10;xS4/wOuMG0v+0ti06b9n7LTpCpAQq704GXvem3nP4/XtaA07AEbtXceXi5ozcNL32u07/uPx/t1H&#10;zmISrhfGO+j4CSK/3bx9sz6GFho/eNMDMiJxsT2Gjg8phbaqohzAirjwARwdKo9WJApxX/UojsRu&#10;TdXU9U119NgH9BJipN276ZBvCr9SINM3pSIkZjpOvaWyYlmf8lpt1qLdowiDluc2xAu6sEI7KjpT&#10;3Ykk2E/Uf1BZLdFHr9JCelt5pbSEooHULOvf1DwMIkDRQubEMNsUX49Wfj3skOm+4w1nTli6ooeE&#10;Qu+HxLbeOTLQI2uyT8cQW0rfuh2eoxh2mEWPCm3+khw2Fm9Ps7cwJiZpc/n+pqk/rDiTdPZp1awy&#10;ZXXFBozpM3jL8k/HjXZZuWjF4UtMU+olJW8bl9foje7vtTElyDMDW4PsIOi207g8l3iWRQUzsspa&#10;pu7LXzoZmFi/gyI3cr+lepnDK6eQEly68BpH2RmmqIMZWP8beM7PUCgz+j/gGVEqe5dmsNXO49+q&#10;X61QU/7FgUl3tuDJ96dyr8UaGrZyOeeHkaf5eVzg1+e7+QUAAP//AwBQSwMEFAAGAAgAAAAhANF1&#10;9CjhAAAACQEAAA8AAABkcnMvZG93bnJldi54bWxMj8tOwzAQRfdI/IM1SGwQtQlNH2mcCkXqhgUS&#10;DapYuvE0jojHUew26d9jVnQ5M0d3zs23k+3YBQffOpLwMhPAkGqnW2okfFW75xUwHxRp1TlCCVf0&#10;sC3u73KVaTfSJ172oWExhHymJJgQ+oxzXxu0ys9cjxRvJzdYFeI4NFwPaozhtuOJEAtuVUvxg1E9&#10;lgbrn/3ZSvhunl53h4qqsQwfp4WZrof3tJTy8WF62wALOIV/GP70ozoU0enozqQ96yQsk3QdUQlJ&#10;mgKLwHou5sCOcbEUwIuc3zYofgEAAP//AwBQSwECLQAUAAYACAAAACEAtoM4kv4AAADhAQAAEwAA&#10;AAAAAAAAAAAAAAAAAAAAW0NvbnRlbnRfVHlwZXNdLnhtbFBLAQItABQABgAIAAAAIQA4/SH/1gAA&#10;AJQBAAALAAAAAAAAAAAAAAAAAC8BAABfcmVscy8ucmVsc1BLAQItABQABgAIAAAAIQACyfMF0QEA&#10;AAYEAAAOAAAAAAAAAAAAAAAAAC4CAABkcnMvZTJvRG9jLnhtbFBLAQItABQABgAIAAAAIQDRdfQo&#10;4QAAAAkBAAAPAAAAAAAAAAAAAAAAACsEAABkcnMvZG93bnJldi54bWxQSwUGAAAAAAQABADzAAAA&#10;OQUAAAAA&#10;" strokecolor="black [3213]" strokeweight=".5pt">
                <v:stroke joinstyle="miter"/>
              </v:line>
            </w:pict>
          </mc:Fallback>
        </mc:AlternateContent>
      </w:r>
      <w:r w:rsidR="00BF1BBC" w:rsidRPr="00C3362C">
        <w:rPr>
          <w:b/>
        </w:rPr>
        <w:t>Name of Program</w:t>
      </w:r>
      <w:r>
        <w:rPr>
          <w:b/>
        </w:rPr>
        <w:t>/Department</w:t>
      </w:r>
      <w:r w:rsidR="00C3362C" w:rsidRPr="00C3362C">
        <w:rPr>
          <w:b/>
        </w:rPr>
        <w:t>:</w:t>
      </w:r>
      <w:r w:rsidR="0047375A">
        <w:rPr>
          <w:b/>
        </w:rPr>
        <w:tab/>
      </w:r>
      <w:r w:rsidR="0047375A">
        <w:rPr>
          <w:b/>
        </w:rPr>
        <w:tab/>
      </w:r>
      <w:r w:rsidR="0047375A">
        <w:rPr>
          <w:b/>
        </w:rPr>
        <w:tab/>
      </w:r>
      <w:r w:rsidR="00BF1BBC" w:rsidRPr="00BF1BBC">
        <w:rPr>
          <w:b/>
        </w:rPr>
        <w:tab/>
      </w:r>
      <w:r w:rsidR="00C3362C">
        <w:rPr>
          <w:b/>
        </w:rPr>
        <w:tab/>
      </w:r>
      <w:r w:rsidR="00BF1BBC" w:rsidRPr="00C3362C">
        <w:rPr>
          <w:b/>
        </w:rPr>
        <w:t>Date of Review</w:t>
      </w:r>
      <w:r w:rsidR="00C3362C" w:rsidRPr="00C3362C">
        <w:rPr>
          <w:b/>
        </w:rPr>
        <w:t xml:space="preserve">: </w:t>
      </w:r>
    </w:p>
    <w:p w:rsidR="00BF1BBC" w:rsidRPr="00BF1BBC" w:rsidRDefault="00BF1BBC" w:rsidP="0047375A">
      <w:pPr>
        <w:ind w:left="-360" w:right="-540"/>
      </w:pPr>
      <w:r w:rsidRPr="00BF1BBC">
        <w:t>When using this rubric, evaluators will need to refer to the Annual or Periodic template for the program. Programs may consider providing reports that use data (i.e. budget requests or curricular revision) to provide more evidence for the areas below.</w:t>
      </w:r>
    </w:p>
    <w:p w:rsidR="00BF1BBC" w:rsidRDefault="00BF1BBC" w:rsidP="0047375A">
      <w:pPr>
        <w:ind w:left="-360" w:right="-540"/>
      </w:pPr>
      <w:r w:rsidRPr="00BF1BBC">
        <w:t xml:space="preserve">When reviewing the materials, evaluators must look both holistically at the templates as well as individually at the </w:t>
      </w:r>
      <w:r w:rsidR="004F0AF8">
        <w:t xml:space="preserve">goals, objectives, </w:t>
      </w:r>
      <w:r w:rsidRPr="00BF1BBC">
        <w:t xml:space="preserve">and accompanying data sections. </w:t>
      </w:r>
    </w:p>
    <w:tbl>
      <w:tblPr>
        <w:tblStyle w:val="TableGrid"/>
        <w:tblW w:w="10170" w:type="dxa"/>
        <w:tblInd w:w="-365" w:type="dxa"/>
        <w:tblLook w:val="04A0" w:firstRow="1" w:lastRow="0" w:firstColumn="1" w:lastColumn="0" w:noHBand="0" w:noVBand="1"/>
      </w:tblPr>
      <w:tblGrid>
        <w:gridCol w:w="2028"/>
        <w:gridCol w:w="2776"/>
        <w:gridCol w:w="2510"/>
        <w:gridCol w:w="2856"/>
      </w:tblGrid>
      <w:tr w:rsidR="004252CB" w:rsidRPr="004252CB" w:rsidTr="0047375A">
        <w:tc>
          <w:tcPr>
            <w:tcW w:w="2028" w:type="dxa"/>
            <w:shd w:val="clear" w:color="auto" w:fill="9CC2E5" w:themeFill="accent1" w:themeFillTint="99"/>
            <w:vAlign w:val="center"/>
          </w:tcPr>
          <w:p w:rsidR="0047382F" w:rsidRPr="004252CB" w:rsidRDefault="0047382F" w:rsidP="004252CB">
            <w:pPr>
              <w:jc w:val="center"/>
              <w:rPr>
                <w:sz w:val="24"/>
              </w:rPr>
            </w:pPr>
          </w:p>
        </w:tc>
        <w:tc>
          <w:tcPr>
            <w:tcW w:w="2776" w:type="dxa"/>
            <w:shd w:val="clear" w:color="auto" w:fill="9CC2E5" w:themeFill="accent1" w:themeFillTint="99"/>
            <w:vAlign w:val="center"/>
          </w:tcPr>
          <w:p w:rsidR="0047382F" w:rsidRPr="004252CB" w:rsidRDefault="0047382F" w:rsidP="004252CB">
            <w:pPr>
              <w:jc w:val="center"/>
              <w:rPr>
                <w:sz w:val="24"/>
              </w:rPr>
            </w:pPr>
            <w:r w:rsidRPr="004252CB">
              <w:rPr>
                <w:b/>
                <w:bCs/>
                <w:sz w:val="24"/>
                <w:szCs w:val="20"/>
              </w:rPr>
              <w:t>Target</w:t>
            </w:r>
          </w:p>
        </w:tc>
        <w:tc>
          <w:tcPr>
            <w:tcW w:w="2510" w:type="dxa"/>
            <w:shd w:val="clear" w:color="auto" w:fill="9CC2E5" w:themeFill="accent1" w:themeFillTint="99"/>
            <w:vAlign w:val="center"/>
          </w:tcPr>
          <w:p w:rsidR="0047382F" w:rsidRPr="004252CB" w:rsidRDefault="0047382F" w:rsidP="004252CB">
            <w:pPr>
              <w:jc w:val="center"/>
              <w:rPr>
                <w:sz w:val="24"/>
              </w:rPr>
            </w:pPr>
            <w:r w:rsidRPr="004252CB">
              <w:rPr>
                <w:b/>
                <w:bCs/>
                <w:sz w:val="24"/>
                <w:szCs w:val="20"/>
              </w:rPr>
              <w:t>Needs Revision</w:t>
            </w:r>
          </w:p>
        </w:tc>
        <w:tc>
          <w:tcPr>
            <w:tcW w:w="2856" w:type="dxa"/>
            <w:shd w:val="clear" w:color="auto" w:fill="9CC2E5" w:themeFill="accent1" w:themeFillTint="99"/>
            <w:vAlign w:val="center"/>
          </w:tcPr>
          <w:p w:rsidR="0047382F" w:rsidRPr="004252CB" w:rsidRDefault="004252CB" w:rsidP="004252CB">
            <w:pPr>
              <w:jc w:val="center"/>
              <w:rPr>
                <w:sz w:val="24"/>
              </w:rPr>
            </w:pPr>
            <w:r>
              <w:rPr>
                <w:b/>
                <w:bCs/>
                <w:sz w:val="24"/>
                <w:szCs w:val="20"/>
              </w:rPr>
              <w:t>Below Standard</w:t>
            </w:r>
          </w:p>
        </w:tc>
      </w:tr>
      <w:tr w:rsidR="004252CB" w:rsidTr="0047375A">
        <w:tc>
          <w:tcPr>
            <w:tcW w:w="2028" w:type="dxa"/>
            <w:vAlign w:val="center"/>
          </w:tcPr>
          <w:p w:rsidR="0047382F" w:rsidRDefault="0047382F" w:rsidP="004252CB">
            <w:r w:rsidRPr="00BF1BBC">
              <w:rPr>
                <w:b/>
                <w:sz w:val="20"/>
                <w:szCs w:val="20"/>
              </w:rPr>
              <w:t>Asses</w:t>
            </w:r>
            <w:r w:rsidR="00C3362C">
              <w:rPr>
                <w:b/>
                <w:sz w:val="20"/>
                <w:szCs w:val="20"/>
              </w:rPr>
              <w:t>sment of Program/Department</w:t>
            </w:r>
          </w:p>
        </w:tc>
        <w:tc>
          <w:tcPr>
            <w:tcW w:w="2776" w:type="dxa"/>
            <w:vAlign w:val="center"/>
          </w:tcPr>
          <w:p w:rsidR="0047382F" w:rsidRDefault="00C3362C" w:rsidP="004252CB">
            <w:pPr>
              <w:rPr>
                <w:sz w:val="20"/>
                <w:szCs w:val="20"/>
              </w:rPr>
            </w:pPr>
            <w:r>
              <w:rPr>
                <w:sz w:val="20"/>
                <w:szCs w:val="20"/>
              </w:rPr>
              <w:t>Annual and Periodic Templates are followed. Content is substantive and reflects a thorough assessment of the entire program/department. Areas for improvement are identified.</w:t>
            </w:r>
          </w:p>
          <w:p w:rsidR="00C3362C" w:rsidRDefault="00C3362C" w:rsidP="004252CB">
            <w:r>
              <w:rPr>
                <w:sz w:val="20"/>
                <w:szCs w:val="20"/>
              </w:rPr>
              <w:t>Follow up is performed on all prior changes and recommendations.</w:t>
            </w:r>
          </w:p>
        </w:tc>
        <w:tc>
          <w:tcPr>
            <w:tcW w:w="2510" w:type="dxa"/>
            <w:vAlign w:val="center"/>
          </w:tcPr>
          <w:p w:rsidR="0047382F" w:rsidRDefault="0047382F" w:rsidP="00002BC6">
            <w:r w:rsidRPr="00BF1BBC">
              <w:rPr>
                <w:sz w:val="20"/>
                <w:szCs w:val="20"/>
              </w:rPr>
              <w:t xml:space="preserve">The scope of the </w:t>
            </w:r>
            <w:r w:rsidR="00002BC6">
              <w:rPr>
                <w:sz w:val="20"/>
                <w:szCs w:val="20"/>
              </w:rPr>
              <w:t>goals/objectives</w:t>
            </w:r>
            <w:r w:rsidRPr="00BF1BBC">
              <w:rPr>
                <w:sz w:val="20"/>
                <w:szCs w:val="20"/>
              </w:rPr>
              <w:t xml:space="preserve"> provides only a partial examination of the program and student learning throughout the program.</w:t>
            </w:r>
          </w:p>
        </w:tc>
        <w:tc>
          <w:tcPr>
            <w:tcW w:w="2856" w:type="dxa"/>
            <w:vAlign w:val="center"/>
          </w:tcPr>
          <w:p w:rsidR="0047382F" w:rsidRPr="00BF1BBC" w:rsidRDefault="0047382F" w:rsidP="00002BC6">
            <w:pPr>
              <w:rPr>
                <w:sz w:val="20"/>
                <w:szCs w:val="20"/>
              </w:rPr>
            </w:pPr>
            <w:r w:rsidRPr="00BF1BBC">
              <w:rPr>
                <w:sz w:val="20"/>
                <w:szCs w:val="20"/>
              </w:rPr>
              <w:t xml:space="preserve">The </w:t>
            </w:r>
            <w:r w:rsidR="00002BC6">
              <w:rPr>
                <w:sz w:val="20"/>
                <w:szCs w:val="20"/>
              </w:rPr>
              <w:t>goals/objectives</w:t>
            </w:r>
            <w:r w:rsidRPr="00BF1BBC">
              <w:rPr>
                <w:sz w:val="20"/>
                <w:szCs w:val="20"/>
              </w:rPr>
              <w:t xml:space="preserve"> are too narrow to provide information about program function and success.</w:t>
            </w:r>
          </w:p>
        </w:tc>
      </w:tr>
      <w:tr w:rsidR="004252CB" w:rsidTr="0047375A">
        <w:tc>
          <w:tcPr>
            <w:tcW w:w="2028" w:type="dxa"/>
            <w:vAlign w:val="center"/>
          </w:tcPr>
          <w:p w:rsidR="0074498D" w:rsidRPr="00BF1BBC" w:rsidRDefault="003E4ADE" w:rsidP="004252CB">
            <w:pPr>
              <w:rPr>
                <w:b/>
                <w:sz w:val="20"/>
                <w:szCs w:val="20"/>
              </w:rPr>
            </w:pPr>
            <w:r>
              <w:rPr>
                <w:b/>
                <w:sz w:val="20"/>
                <w:szCs w:val="20"/>
              </w:rPr>
              <w:t>SOAR/SWOT Analysis</w:t>
            </w:r>
          </w:p>
        </w:tc>
        <w:tc>
          <w:tcPr>
            <w:tcW w:w="2776" w:type="dxa"/>
            <w:vAlign w:val="center"/>
          </w:tcPr>
          <w:p w:rsidR="0074498D" w:rsidRPr="00BF1BBC" w:rsidRDefault="003E4ADE" w:rsidP="004252CB">
            <w:pPr>
              <w:rPr>
                <w:sz w:val="20"/>
                <w:szCs w:val="20"/>
              </w:rPr>
            </w:pPr>
            <w:r>
              <w:rPr>
                <w:sz w:val="20"/>
                <w:szCs w:val="20"/>
              </w:rPr>
              <w:t>The SOAR/SWOT analyses represent a thorough review of the program/department. Analyses have been updated on an annual basis to reflect changes in the program/department.</w:t>
            </w:r>
          </w:p>
        </w:tc>
        <w:tc>
          <w:tcPr>
            <w:tcW w:w="2510" w:type="dxa"/>
            <w:vAlign w:val="center"/>
          </w:tcPr>
          <w:p w:rsidR="0074498D" w:rsidRPr="00BF1BBC" w:rsidRDefault="003E4ADE" w:rsidP="004252CB">
            <w:pPr>
              <w:rPr>
                <w:sz w:val="20"/>
                <w:szCs w:val="20"/>
              </w:rPr>
            </w:pPr>
            <w:r>
              <w:rPr>
                <w:sz w:val="20"/>
                <w:szCs w:val="20"/>
              </w:rPr>
              <w:t>The SOAR/SWOT analyses are solid, but may benefit from some deeper reflection. Minor changes have been made to the analyses over the years, but not to the level of reflecting continuous improvement.</w:t>
            </w:r>
          </w:p>
        </w:tc>
        <w:tc>
          <w:tcPr>
            <w:tcW w:w="2856" w:type="dxa"/>
            <w:vAlign w:val="center"/>
          </w:tcPr>
          <w:p w:rsidR="0074498D" w:rsidRPr="00BF1BBC" w:rsidRDefault="003E4ADE" w:rsidP="004252CB">
            <w:pPr>
              <w:rPr>
                <w:sz w:val="20"/>
                <w:szCs w:val="20"/>
              </w:rPr>
            </w:pPr>
            <w:r>
              <w:rPr>
                <w:sz w:val="20"/>
                <w:szCs w:val="20"/>
              </w:rPr>
              <w:t>The SOAR/SWOT analyses are superficial and have not been updated on an annual basis.</w:t>
            </w:r>
          </w:p>
        </w:tc>
      </w:tr>
      <w:tr w:rsidR="004252CB" w:rsidTr="0047375A">
        <w:tc>
          <w:tcPr>
            <w:tcW w:w="2028" w:type="dxa"/>
            <w:vAlign w:val="center"/>
          </w:tcPr>
          <w:p w:rsidR="004252CB" w:rsidRPr="00BF1BBC" w:rsidRDefault="004252CB" w:rsidP="004252CB">
            <w:pPr>
              <w:rPr>
                <w:b/>
                <w:sz w:val="20"/>
                <w:szCs w:val="20"/>
              </w:rPr>
            </w:pPr>
            <w:r w:rsidRPr="00BF1BBC">
              <w:rPr>
                <w:b/>
                <w:bCs/>
                <w:sz w:val="20"/>
                <w:szCs w:val="20"/>
              </w:rPr>
              <w:t>Use of Data</w:t>
            </w:r>
          </w:p>
        </w:tc>
        <w:tc>
          <w:tcPr>
            <w:tcW w:w="2776" w:type="dxa"/>
            <w:vAlign w:val="center"/>
          </w:tcPr>
          <w:p w:rsidR="004252CB" w:rsidRPr="00BF1BBC" w:rsidRDefault="004252CB" w:rsidP="004252CB">
            <w:pPr>
              <w:rPr>
                <w:sz w:val="20"/>
                <w:szCs w:val="20"/>
              </w:rPr>
            </w:pPr>
            <w:r w:rsidRPr="00BF1BBC">
              <w:rPr>
                <w:sz w:val="20"/>
                <w:szCs w:val="20"/>
              </w:rPr>
              <w:t>Evidence is provided that data were used to inform</w:t>
            </w:r>
            <w:r w:rsidRPr="00BF1BBC">
              <w:rPr>
                <w:sz w:val="20"/>
                <w:szCs w:val="20"/>
              </w:rPr>
              <w:br/>
              <w:t>reflection on the program. Evidence might include</w:t>
            </w:r>
            <w:r>
              <w:rPr>
                <w:sz w:val="20"/>
                <w:szCs w:val="20"/>
              </w:rPr>
              <w:t xml:space="preserve">: </w:t>
            </w:r>
            <w:r w:rsidRPr="00BF1BBC">
              <w:rPr>
                <w:sz w:val="20"/>
                <w:szCs w:val="20"/>
              </w:rPr>
              <w:t>influence on curricular decisions, assessment policies,</w:t>
            </w:r>
            <w:r w:rsidRPr="00BF1BBC">
              <w:rPr>
                <w:sz w:val="20"/>
                <w:szCs w:val="20"/>
              </w:rPr>
              <w:br/>
              <w:t>program design, or budget requests. Language must</w:t>
            </w:r>
            <w:r w:rsidRPr="00BF1BBC">
              <w:rPr>
                <w:sz w:val="20"/>
                <w:szCs w:val="20"/>
              </w:rPr>
              <w:br/>
              <w:t>clearly indicate where decisions were influenced by</w:t>
            </w:r>
            <w:r>
              <w:rPr>
                <w:sz w:val="20"/>
                <w:szCs w:val="20"/>
              </w:rPr>
              <w:t xml:space="preserve"> </w:t>
            </w:r>
            <w:r w:rsidRPr="00BF1BBC">
              <w:rPr>
                <w:sz w:val="20"/>
                <w:szCs w:val="20"/>
              </w:rPr>
              <w:t>data (even if no change occurred).</w:t>
            </w:r>
          </w:p>
        </w:tc>
        <w:tc>
          <w:tcPr>
            <w:tcW w:w="2510" w:type="dxa"/>
            <w:vAlign w:val="center"/>
          </w:tcPr>
          <w:p w:rsidR="004252CB" w:rsidRPr="00BF1BBC" w:rsidRDefault="004252CB" w:rsidP="004252CB">
            <w:pPr>
              <w:rPr>
                <w:sz w:val="20"/>
                <w:szCs w:val="20"/>
              </w:rPr>
            </w:pPr>
            <w:r w:rsidRPr="00BF1BBC">
              <w:rPr>
                <w:sz w:val="20"/>
                <w:szCs w:val="20"/>
              </w:rPr>
              <w:t>Minimal evidence exists to indicate that data</w:t>
            </w:r>
            <w:r w:rsidRPr="00BF1BBC">
              <w:rPr>
                <w:sz w:val="20"/>
                <w:szCs w:val="20"/>
              </w:rPr>
              <w:br/>
              <w:t>collected were used systematically by</w:t>
            </w:r>
            <w:r>
              <w:rPr>
                <w:sz w:val="20"/>
                <w:szCs w:val="20"/>
              </w:rPr>
              <w:t xml:space="preserve"> the</w:t>
            </w:r>
            <w:r w:rsidRPr="00BF1BBC">
              <w:rPr>
                <w:sz w:val="20"/>
                <w:szCs w:val="20"/>
              </w:rPr>
              <w:t xml:space="preserve"> program</w:t>
            </w:r>
            <w:r>
              <w:rPr>
                <w:sz w:val="20"/>
                <w:szCs w:val="20"/>
              </w:rPr>
              <w:t xml:space="preserve">/department </w:t>
            </w:r>
            <w:r w:rsidRPr="00BF1BBC">
              <w:rPr>
                <w:sz w:val="20"/>
                <w:szCs w:val="20"/>
              </w:rPr>
              <w:t>to i</w:t>
            </w:r>
            <w:r>
              <w:rPr>
                <w:sz w:val="20"/>
                <w:szCs w:val="20"/>
              </w:rPr>
              <w:t xml:space="preserve">nfluence evaluation the program </w:t>
            </w:r>
            <w:r w:rsidRPr="00BF1BBC">
              <w:rPr>
                <w:sz w:val="20"/>
                <w:szCs w:val="20"/>
              </w:rPr>
              <w:t>AND/OR Language used does not clearly indicate</w:t>
            </w:r>
            <w:r w:rsidRPr="00BF1BBC">
              <w:rPr>
                <w:sz w:val="20"/>
                <w:szCs w:val="20"/>
              </w:rPr>
              <w:br/>
              <w:t>use of data</w:t>
            </w:r>
          </w:p>
        </w:tc>
        <w:tc>
          <w:tcPr>
            <w:tcW w:w="2856" w:type="dxa"/>
            <w:vAlign w:val="center"/>
          </w:tcPr>
          <w:p w:rsidR="004252CB" w:rsidRPr="00BF1BBC" w:rsidRDefault="004252CB" w:rsidP="004252CB">
            <w:pPr>
              <w:rPr>
                <w:sz w:val="20"/>
                <w:szCs w:val="20"/>
              </w:rPr>
            </w:pPr>
            <w:r w:rsidRPr="00BF1BBC">
              <w:rPr>
                <w:sz w:val="20"/>
                <w:szCs w:val="20"/>
              </w:rPr>
              <w:t>Use of data not evident.</w:t>
            </w:r>
          </w:p>
        </w:tc>
      </w:tr>
      <w:tr w:rsidR="004252CB" w:rsidTr="0047375A">
        <w:tc>
          <w:tcPr>
            <w:tcW w:w="2028" w:type="dxa"/>
            <w:vAlign w:val="center"/>
          </w:tcPr>
          <w:p w:rsidR="004252CB" w:rsidRPr="00BF1BBC" w:rsidRDefault="004252CB" w:rsidP="004252CB">
            <w:pPr>
              <w:rPr>
                <w:b/>
                <w:sz w:val="20"/>
                <w:szCs w:val="20"/>
              </w:rPr>
            </w:pPr>
            <w:r w:rsidRPr="00BF1BBC">
              <w:rPr>
                <w:b/>
                <w:bCs/>
                <w:sz w:val="20"/>
                <w:szCs w:val="20"/>
              </w:rPr>
              <w:t>Assessment of Student Learning Outcomes</w:t>
            </w:r>
            <w:r>
              <w:rPr>
                <w:b/>
                <w:bCs/>
                <w:sz w:val="20"/>
                <w:szCs w:val="20"/>
              </w:rPr>
              <w:t xml:space="preserve"> (Academic Programs)</w:t>
            </w:r>
          </w:p>
        </w:tc>
        <w:tc>
          <w:tcPr>
            <w:tcW w:w="2776" w:type="dxa"/>
            <w:vAlign w:val="center"/>
          </w:tcPr>
          <w:p w:rsidR="004252CB" w:rsidRPr="00BF1BBC" w:rsidRDefault="004252CB" w:rsidP="004252CB">
            <w:pPr>
              <w:rPr>
                <w:sz w:val="20"/>
                <w:szCs w:val="20"/>
              </w:rPr>
            </w:pPr>
            <w:r w:rsidRPr="00BF1BBC">
              <w:rPr>
                <w:sz w:val="20"/>
                <w:szCs w:val="20"/>
              </w:rPr>
              <w:t>SLOs are written in measureable and/or observable</w:t>
            </w:r>
            <w:r w:rsidRPr="00BF1BBC">
              <w:rPr>
                <w:sz w:val="20"/>
                <w:szCs w:val="20"/>
              </w:rPr>
              <w:br/>
              <w:t>language.</w:t>
            </w:r>
            <w:r>
              <w:rPr>
                <w:sz w:val="20"/>
                <w:szCs w:val="20"/>
              </w:rPr>
              <w:t xml:space="preserve"> SLOs are measured on an annual basis. SLOs are reviewed for relevance.</w:t>
            </w:r>
          </w:p>
        </w:tc>
        <w:tc>
          <w:tcPr>
            <w:tcW w:w="2510" w:type="dxa"/>
            <w:vAlign w:val="center"/>
          </w:tcPr>
          <w:p w:rsidR="004252CB" w:rsidRPr="00BF1BBC" w:rsidRDefault="004252CB" w:rsidP="004252CB">
            <w:pPr>
              <w:rPr>
                <w:sz w:val="20"/>
                <w:szCs w:val="20"/>
              </w:rPr>
            </w:pPr>
            <w:r w:rsidRPr="00BF1BBC">
              <w:rPr>
                <w:sz w:val="20"/>
                <w:szCs w:val="20"/>
              </w:rPr>
              <w:t>Some SLOs need more specific language to indicate expectations in a measureable or observable way.</w:t>
            </w:r>
            <w:r>
              <w:rPr>
                <w:sz w:val="20"/>
                <w:szCs w:val="20"/>
              </w:rPr>
              <w:t xml:space="preserve"> SLOs are not measured in a consistent manner.</w:t>
            </w:r>
          </w:p>
        </w:tc>
        <w:tc>
          <w:tcPr>
            <w:tcW w:w="2856" w:type="dxa"/>
            <w:vAlign w:val="center"/>
          </w:tcPr>
          <w:p w:rsidR="004252CB" w:rsidRPr="00BF1BBC" w:rsidRDefault="004252CB" w:rsidP="004252CB">
            <w:pPr>
              <w:rPr>
                <w:sz w:val="20"/>
                <w:szCs w:val="20"/>
              </w:rPr>
            </w:pPr>
            <w:r w:rsidRPr="00BF1BBC">
              <w:rPr>
                <w:sz w:val="20"/>
                <w:szCs w:val="20"/>
              </w:rPr>
              <w:t>SLOs are neither measureable</w:t>
            </w:r>
            <w:r w:rsidRPr="00BF1BBC">
              <w:rPr>
                <w:sz w:val="20"/>
                <w:szCs w:val="20"/>
              </w:rPr>
              <w:br/>
              <w:t>nor observable.</w:t>
            </w:r>
            <w:r>
              <w:rPr>
                <w:sz w:val="20"/>
                <w:szCs w:val="20"/>
              </w:rPr>
              <w:t xml:space="preserve"> SLOs have not been measured in several years.</w:t>
            </w:r>
          </w:p>
        </w:tc>
      </w:tr>
    </w:tbl>
    <w:p w:rsidR="0047375A" w:rsidRDefault="0047375A"/>
    <w:p w:rsidR="0047375A" w:rsidRDefault="0047375A"/>
    <w:tbl>
      <w:tblPr>
        <w:tblStyle w:val="TableGrid"/>
        <w:tblW w:w="10170" w:type="dxa"/>
        <w:tblInd w:w="-365" w:type="dxa"/>
        <w:tblLook w:val="04A0" w:firstRow="1" w:lastRow="0" w:firstColumn="1" w:lastColumn="0" w:noHBand="0" w:noVBand="1"/>
      </w:tblPr>
      <w:tblGrid>
        <w:gridCol w:w="2028"/>
        <w:gridCol w:w="2776"/>
        <w:gridCol w:w="2510"/>
        <w:gridCol w:w="2856"/>
      </w:tblGrid>
      <w:tr w:rsidR="004252CB" w:rsidTr="0047375A">
        <w:tc>
          <w:tcPr>
            <w:tcW w:w="2028" w:type="dxa"/>
            <w:vAlign w:val="center"/>
          </w:tcPr>
          <w:p w:rsidR="0074498D" w:rsidRPr="00BF1BBC" w:rsidRDefault="004252CB" w:rsidP="004252CB">
            <w:pPr>
              <w:rPr>
                <w:b/>
                <w:sz w:val="20"/>
                <w:szCs w:val="20"/>
              </w:rPr>
            </w:pPr>
            <w:r>
              <w:rPr>
                <w:b/>
                <w:sz w:val="20"/>
                <w:szCs w:val="20"/>
              </w:rPr>
              <w:lastRenderedPageBreak/>
              <w:t>Closing the Loop</w:t>
            </w:r>
          </w:p>
        </w:tc>
        <w:tc>
          <w:tcPr>
            <w:tcW w:w="2776" w:type="dxa"/>
            <w:vAlign w:val="center"/>
          </w:tcPr>
          <w:p w:rsidR="0074498D" w:rsidRPr="00BF1BBC" w:rsidRDefault="00B85435" w:rsidP="00B85435">
            <w:pPr>
              <w:rPr>
                <w:sz w:val="20"/>
                <w:szCs w:val="20"/>
              </w:rPr>
            </w:pPr>
            <w:r>
              <w:rPr>
                <w:sz w:val="20"/>
                <w:szCs w:val="20"/>
              </w:rPr>
              <w:t>Updates on a</w:t>
            </w:r>
            <w:r w:rsidR="004252CB">
              <w:rPr>
                <w:sz w:val="20"/>
                <w:szCs w:val="20"/>
              </w:rPr>
              <w:t xml:space="preserve">ction plans, program/ department plans, </w:t>
            </w:r>
            <w:r>
              <w:rPr>
                <w:sz w:val="20"/>
                <w:szCs w:val="20"/>
              </w:rPr>
              <w:t>objective results, etc. have been provided on at least an annual basis. The assessment cycle has been closed where applicable.</w:t>
            </w:r>
          </w:p>
        </w:tc>
        <w:tc>
          <w:tcPr>
            <w:tcW w:w="2510" w:type="dxa"/>
            <w:vAlign w:val="center"/>
          </w:tcPr>
          <w:p w:rsidR="0074498D" w:rsidRPr="00BF1BBC" w:rsidRDefault="00B85435" w:rsidP="00B85435">
            <w:pPr>
              <w:rPr>
                <w:sz w:val="20"/>
                <w:szCs w:val="20"/>
              </w:rPr>
            </w:pPr>
            <w:r>
              <w:rPr>
                <w:sz w:val="20"/>
                <w:szCs w:val="20"/>
              </w:rPr>
              <w:t>Updates on action plans, program/ department plans, objective results, etc. have been addressed, but closure is not identified.</w:t>
            </w:r>
          </w:p>
        </w:tc>
        <w:tc>
          <w:tcPr>
            <w:tcW w:w="2856" w:type="dxa"/>
            <w:vAlign w:val="center"/>
          </w:tcPr>
          <w:p w:rsidR="0074498D" w:rsidRPr="00BF1BBC" w:rsidRDefault="00B85435" w:rsidP="004252CB">
            <w:pPr>
              <w:rPr>
                <w:sz w:val="20"/>
                <w:szCs w:val="20"/>
              </w:rPr>
            </w:pPr>
            <w:r>
              <w:rPr>
                <w:sz w:val="20"/>
                <w:szCs w:val="20"/>
              </w:rPr>
              <w:t>Action plans, program/ department plans, objective results, etc. have not been addressed since identified.</w:t>
            </w:r>
          </w:p>
        </w:tc>
      </w:tr>
      <w:tr w:rsidR="0012520A" w:rsidTr="0012520A">
        <w:tc>
          <w:tcPr>
            <w:tcW w:w="10170" w:type="dxa"/>
            <w:gridSpan w:val="4"/>
            <w:vAlign w:val="center"/>
          </w:tcPr>
          <w:p w:rsidR="0012520A" w:rsidRDefault="0012520A" w:rsidP="004252CB">
            <w:pPr>
              <w:rPr>
                <w:sz w:val="20"/>
                <w:szCs w:val="20"/>
              </w:rPr>
            </w:pPr>
            <w:r>
              <w:rPr>
                <w:sz w:val="20"/>
                <w:szCs w:val="20"/>
              </w:rPr>
              <w:t>Comments:</w:t>
            </w: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p w:rsidR="0012520A" w:rsidRDefault="0012520A" w:rsidP="004252CB">
            <w:pPr>
              <w:rPr>
                <w:sz w:val="20"/>
                <w:szCs w:val="20"/>
              </w:rPr>
            </w:pPr>
          </w:p>
        </w:tc>
      </w:tr>
    </w:tbl>
    <w:p w:rsidR="006334BD" w:rsidRPr="006334BD" w:rsidRDefault="006334BD" w:rsidP="006334BD"/>
    <w:p w:rsidR="006334BD" w:rsidRPr="006334BD" w:rsidRDefault="006334BD" w:rsidP="0047375A">
      <w:pPr>
        <w:ind w:left="-360"/>
        <w:rPr>
          <w:b/>
        </w:rPr>
      </w:pPr>
      <w:r w:rsidRPr="006334BD">
        <w:rPr>
          <w:b/>
        </w:rPr>
        <w:t xml:space="preserve">Members present: </w:t>
      </w:r>
    </w:p>
    <w:p w:rsidR="006334BD" w:rsidRPr="006334BD" w:rsidRDefault="006334BD" w:rsidP="0047375A">
      <w:pPr>
        <w:ind w:left="-360"/>
        <w:rPr>
          <w:b/>
        </w:rPr>
      </w:pPr>
      <w:r w:rsidRPr="006334BD">
        <w:rPr>
          <w:b/>
        </w:rPr>
        <w:t xml:space="preserve">Description of data reviewed: </w:t>
      </w:r>
    </w:p>
    <w:p w:rsidR="006334BD" w:rsidRPr="006334BD" w:rsidRDefault="006334BD" w:rsidP="0047375A">
      <w:pPr>
        <w:ind w:left="-360"/>
        <w:rPr>
          <w:b/>
        </w:rPr>
      </w:pPr>
      <w:r w:rsidRPr="006334BD">
        <w:rPr>
          <w:b/>
        </w:rPr>
        <w:t xml:space="preserve">Areas of commendation or strengths: </w:t>
      </w:r>
    </w:p>
    <w:p w:rsidR="006334BD" w:rsidRPr="006334BD" w:rsidRDefault="006334BD" w:rsidP="0047375A">
      <w:pPr>
        <w:ind w:left="-360"/>
        <w:rPr>
          <w:b/>
        </w:rPr>
      </w:pPr>
      <w:r w:rsidRPr="006334BD">
        <w:rPr>
          <w:b/>
        </w:rPr>
        <w:t xml:space="preserve">Areas of potential concern: </w:t>
      </w:r>
    </w:p>
    <w:p w:rsidR="006334BD" w:rsidRPr="006334BD" w:rsidRDefault="006334BD" w:rsidP="0047375A">
      <w:pPr>
        <w:ind w:left="-360"/>
        <w:rPr>
          <w:b/>
        </w:rPr>
      </w:pPr>
      <w:r w:rsidRPr="006334BD">
        <w:rPr>
          <w:b/>
        </w:rPr>
        <w:t>Commit</w:t>
      </w:r>
      <w:r w:rsidR="0012520A">
        <w:rPr>
          <w:b/>
        </w:rPr>
        <w:t>tee recommendations for program/department</w:t>
      </w:r>
      <w:r w:rsidRPr="006334BD">
        <w:rPr>
          <w:b/>
        </w:rPr>
        <w:t xml:space="preserve">: </w:t>
      </w:r>
    </w:p>
    <w:p w:rsidR="00851C5E" w:rsidRPr="00851C5E" w:rsidRDefault="006334BD" w:rsidP="0047375A">
      <w:pPr>
        <w:ind w:left="-360"/>
      </w:pPr>
      <w:r w:rsidRPr="006334BD">
        <w:rPr>
          <w:b/>
        </w:rPr>
        <w:t xml:space="preserve">Additional </w:t>
      </w:r>
      <w:r w:rsidR="006077A0">
        <w:rPr>
          <w:b/>
        </w:rPr>
        <w:t>analysis requested by</w:t>
      </w:r>
      <w:bookmarkStart w:id="3" w:name="_GoBack"/>
      <w:bookmarkEnd w:id="3"/>
      <w:r w:rsidR="006077A0">
        <w:rPr>
          <w:b/>
        </w:rPr>
        <w:t xml:space="preserve"> committee</w:t>
      </w:r>
      <w:r w:rsidR="0012520A">
        <w:rPr>
          <w:b/>
        </w:rPr>
        <w:t>:</w:t>
      </w:r>
    </w:p>
    <w:sectPr w:rsidR="00851C5E" w:rsidRPr="00851C5E" w:rsidSect="0074498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2B" w:rsidRDefault="00F4472B" w:rsidP="0064401D">
      <w:pPr>
        <w:spacing w:after="0" w:line="240" w:lineRule="auto"/>
      </w:pPr>
      <w:r>
        <w:separator/>
      </w:r>
    </w:p>
  </w:endnote>
  <w:endnote w:type="continuationSeparator" w:id="0">
    <w:p w:rsidR="00F4472B" w:rsidRDefault="00F4472B" w:rsidP="0064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99341"/>
      <w:docPartObj>
        <w:docPartGallery w:val="Page Numbers (Bottom of Page)"/>
        <w:docPartUnique/>
      </w:docPartObj>
    </w:sdtPr>
    <w:sdtEndPr>
      <w:rPr>
        <w:color w:val="7F7F7F" w:themeColor="background1" w:themeShade="7F"/>
        <w:spacing w:val="60"/>
      </w:rPr>
    </w:sdtEndPr>
    <w:sdtContent>
      <w:p w:rsidR="00002BC6" w:rsidRDefault="00002B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375A" w:rsidRPr="0047375A">
          <w:rPr>
            <w:b/>
            <w:bCs/>
            <w:noProof/>
          </w:rPr>
          <w:t>3</w:t>
        </w:r>
        <w:r>
          <w:rPr>
            <w:b/>
            <w:bCs/>
            <w:noProof/>
          </w:rPr>
          <w:fldChar w:fldCharType="end"/>
        </w:r>
        <w:r>
          <w:rPr>
            <w:b/>
            <w:bCs/>
          </w:rPr>
          <w:t xml:space="preserve"> | v</w:t>
        </w:r>
        <w:r w:rsidR="0047375A">
          <w:rPr>
            <w:b/>
            <w:bCs/>
          </w:rPr>
          <w:t>9</w:t>
        </w:r>
        <w:r>
          <w:rPr>
            <w:b/>
            <w:bCs/>
          </w:rPr>
          <w:t>.</w:t>
        </w:r>
        <w:r w:rsidR="0047375A">
          <w:rPr>
            <w:b/>
            <w:bCs/>
          </w:rPr>
          <w:t>11</w:t>
        </w:r>
        <w:r>
          <w:rPr>
            <w:b/>
            <w:bCs/>
          </w:rPr>
          <w:t>.</w:t>
        </w:r>
        <w:r w:rsidR="0047375A">
          <w:rPr>
            <w:b/>
            <w:bCs/>
          </w:rPr>
          <w:t>20</w:t>
        </w:r>
      </w:p>
    </w:sdtContent>
  </w:sdt>
  <w:p w:rsidR="00C3362C" w:rsidRDefault="00C3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1734"/>
      <w:docPartObj>
        <w:docPartGallery w:val="Page Numbers (Bottom of Page)"/>
        <w:docPartUnique/>
      </w:docPartObj>
    </w:sdtPr>
    <w:sdtEndPr>
      <w:rPr>
        <w:color w:val="7F7F7F" w:themeColor="background1" w:themeShade="7F"/>
        <w:spacing w:val="60"/>
      </w:rPr>
    </w:sdtEndPr>
    <w:sdtContent>
      <w:p w:rsidR="00C3362C" w:rsidRDefault="00C3362C">
        <w:pPr>
          <w:pStyle w:val="Footer"/>
          <w:pBdr>
            <w:top w:val="single" w:sz="4" w:space="1" w:color="D9D9D9" w:themeColor="background1" w:themeShade="D9"/>
          </w:pBdr>
          <w:jc w:val="right"/>
        </w:pPr>
        <w:r>
          <w:t>1 | v2.21.19</w:t>
        </w:r>
      </w:p>
    </w:sdtContent>
  </w:sdt>
  <w:p w:rsidR="0060124D" w:rsidRDefault="0060124D" w:rsidP="006012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2B" w:rsidRDefault="00F4472B" w:rsidP="0064401D">
      <w:pPr>
        <w:spacing w:after="0" w:line="240" w:lineRule="auto"/>
      </w:pPr>
      <w:r>
        <w:separator/>
      </w:r>
    </w:p>
  </w:footnote>
  <w:footnote w:type="continuationSeparator" w:id="0">
    <w:p w:rsidR="00F4472B" w:rsidRDefault="00F4472B" w:rsidP="0064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8D" w:rsidRPr="006077A0" w:rsidRDefault="0074498D" w:rsidP="0074498D">
    <w:pPr>
      <w:pStyle w:val="Heading2"/>
      <w:jc w:val="center"/>
      <w:rPr>
        <w:b/>
        <w:sz w:val="36"/>
      </w:rPr>
    </w:pPr>
    <w:r w:rsidRPr="006077A0">
      <w:rPr>
        <w:b/>
        <w:sz w:val="36"/>
      </w:rPr>
      <w:t xml:space="preserve">Committee Data Review Form </w:t>
    </w:r>
  </w:p>
  <w:p w:rsidR="0074498D" w:rsidRPr="0074498D" w:rsidRDefault="0074498D" w:rsidP="0074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215"/>
    <w:multiLevelType w:val="hybridMultilevel"/>
    <w:tmpl w:val="9EC8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25F"/>
    <w:multiLevelType w:val="hybridMultilevel"/>
    <w:tmpl w:val="9EC8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CE2"/>
    <w:multiLevelType w:val="hybridMultilevel"/>
    <w:tmpl w:val="7A4653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AE4DEC"/>
    <w:multiLevelType w:val="hybridMultilevel"/>
    <w:tmpl w:val="3A8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8529D"/>
    <w:multiLevelType w:val="hybridMultilevel"/>
    <w:tmpl w:val="35F090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E75F5"/>
    <w:multiLevelType w:val="hybridMultilevel"/>
    <w:tmpl w:val="F35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8D"/>
    <w:rsid w:val="00002BC6"/>
    <w:rsid w:val="0009728D"/>
    <w:rsid w:val="0012520A"/>
    <w:rsid w:val="001D08DC"/>
    <w:rsid w:val="00224D5B"/>
    <w:rsid w:val="002B5F20"/>
    <w:rsid w:val="002D5FC3"/>
    <w:rsid w:val="00315E64"/>
    <w:rsid w:val="00364E66"/>
    <w:rsid w:val="003E4ADE"/>
    <w:rsid w:val="004252CB"/>
    <w:rsid w:val="0047375A"/>
    <w:rsid w:val="0047382F"/>
    <w:rsid w:val="004F0AF8"/>
    <w:rsid w:val="00520A15"/>
    <w:rsid w:val="005370A2"/>
    <w:rsid w:val="005C30FD"/>
    <w:rsid w:val="005E400F"/>
    <w:rsid w:val="0060124D"/>
    <w:rsid w:val="006077A0"/>
    <w:rsid w:val="006334BD"/>
    <w:rsid w:val="0064401D"/>
    <w:rsid w:val="0065258D"/>
    <w:rsid w:val="00652C74"/>
    <w:rsid w:val="00655265"/>
    <w:rsid w:val="0074498D"/>
    <w:rsid w:val="007A69F9"/>
    <w:rsid w:val="00851C5E"/>
    <w:rsid w:val="00A33D62"/>
    <w:rsid w:val="00A571D7"/>
    <w:rsid w:val="00B42D37"/>
    <w:rsid w:val="00B6453F"/>
    <w:rsid w:val="00B85435"/>
    <w:rsid w:val="00BF1BBC"/>
    <w:rsid w:val="00C3362C"/>
    <w:rsid w:val="00C66A2A"/>
    <w:rsid w:val="00C95025"/>
    <w:rsid w:val="00CF76FC"/>
    <w:rsid w:val="00D821C2"/>
    <w:rsid w:val="00D92256"/>
    <w:rsid w:val="00EA6E5C"/>
    <w:rsid w:val="00ED3CD4"/>
    <w:rsid w:val="00F4472B"/>
    <w:rsid w:val="00FB64DF"/>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469E9"/>
  <w15:chartTrackingRefBased/>
  <w15:docId w15:val="{5B80D720-7BD1-4A6F-A59D-089FF764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5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258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1D"/>
  </w:style>
  <w:style w:type="paragraph" w:styleId="Footer">
    <w:name w:val="footer"/>
    <w:basedOn w:val="Normal"/>
    <w:link w:val="FooterChar"/>
    <w:uiPriority w:val="99"/>
    <w:unhideWhenUsed/>
    <w:rsid w:val="0064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1D"/>
  </w:style>
  <w:style w:type="paragraph" w:styleId="ListParagraph">
    <w:name w:val="List Paragraph"/>
    <w:basedOn w:val="Normal"/>
    <w:uiPriority w:val="34"/>
    <w:qFormat/>
    <w:rsid w:val="0064401D"/>
    <w:pPr>
      <w:ind w:left="720"/>
      <w:contextualSpacing/>
    </w:pPr>
  </w:style>
  <w:style w:type="paragraph" w:styleId="NoSpacing">
    <w:name w:val="No Spacing"/>
    <w:link w:val="NoSpacingChar"/>
    <w:uiPriority w:val="1"/>
    <w:qFormat/>
    <w:rsid w:val="00851C5E"/>
    <w:pPr>
      <w:spacing w:after="0" w:line="240" w:lineRule="auto"/>
    </w:pPr>
    <w:rPr>
      <w:rFonts w:eastAsiaTheme="minorEastAsia"/>
    </w:rPr>
  </w:style>
  <w:style w:type="character" w:customStyle="1" w:styleId="NoSpacingChar">
    <w:name w:val="No Spacing Char"/>
    <w:basedOn w:val="DefaultParagraphFont"/>
    <w:link w:val="NoSpacing"/>
    <w:uiPriority w:val="1"/>
    <w:rsid w:val="00851C5E"/>
    <w:rPr>
      <w:rFonts w:eastAsiaTheme="minorEastAsia"/>
    </w:rPr>
  </w:style>
  <w:style w:type="paragraph" w:styleId="TOCHeading">
    <w:name w:val="TOC Heading"/>
    <w:basedOn w:val="Heading1"/>
    <w:next w:val="Normal"/>
    <w:uiPriority w:val="39"/>
    <w:unhideWhenUsed/>
    <w:qFormat/>
    <w:rsid w:val="00851C5E"/>
    <w:pPr>
      <w:outlineLvl w:val="9"/>
    </w:pPr>
  </w:style>
  <w:style w:type="paragraph" w:styleId="TOC1">
    <w:name w:val="toc 1"/>
    <w:basedOn w:val="Normal"/>
    <w:next w:val="Normal"/>
    <w:autoRedefine/>
    <w:uiPriority w:val="39"/>
    <w:unhideWhenUsed/>
    <w:rsid w:val="00851C5E"/>
    <w:pPr>
      <w:spacing w:after="100"/>
    </w:pPr>
  </w:style>
  <w:style w:type="paragraph" w:styleId="TOC2">
    <w:name w:val="toc 2"/>
    <w:basedOn w:val="Normal"/>
    <w:next w:val="Normal"/>
    <w:autoRedefine/>
    <w:uiPriority w:val="39"/>
    <w:unhideWhenUsed/>
    <w:rsid w:val="00851C5E"/>
    <w:pPr>
      <w:spacing w:after="100"/>
      <w:ind w:left="220"/>
    </w:pPr>
  </w:style>
  <w:style w:type="character" w:styleId="Hyperlink">
    <w:name w:val="Hyperlink"/>
    <w:basedOn w:val="DefaultParagraphFont"/>
    <w:uiPriority w:val="99"/>
    <w:unhideWhenUsed/>
    <w:rsid w:val="00851C5E"/>
    <w:rPr>
      <w:color w:val="0563C1" w:themeColor="hyperlink"/>
      <w:u w:val="single"/>
    </w:rPr>
  </w:style>
  <w:style w:type="table" w:styleId="TableGrid">
    <w:name w:val="Table Grid"/>
    <w:basedOn w:val="TableNormal"/>
    <w:uiPriority w:val="39"/>
    <w:rsid w:val="0047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266">
      <w:bodyDiv w:val="1"/>
      <w:marLeft w:val="0"/>
      <w:marRight w:val="0"/>
      <w:marTop w:val="0"/>
      <w:marBottom w:val="0"/>
      <w:divBdr>
        <w:top w:val="none" w:sz="0" w:space="0" w:color="auto"/>
        <w:left w:val="none" w:sz="0" w:space="0" w:color="auto"/>
        <w:bottom w:val="none" w:sz="0" w:space="0" w:color="auto"/>
        <w:right w:val="none" w:sz="0" w:space="0" w:color="auto"/>
      </w:divBdr>
    </w:div>
    <w:div w:id="429204370">
      <w:bodyDiv w:val="1"/>
      <w:marLeft w:val="0"/>
      <w:marRight w:val="0"/>
      <w:marTop w:val="0"/>
      <w:marBottom w:val="0"/>
      <w:divBdr>
        <w:top w:val="none" w:sz="0" w:space="0" w:color="auto"/>
        <w:left w:val="none" w:sz="0" w:space="0" w:color="auto"/>
        <w:bottom w:val="none" w:sz="0" w:space="0" w:color="auto"/>
        <w:right w:val="none" w:sz="0" w:space="0" w:color="auto"/>
      </w:divBdr>
    </w:div>
    <w:div w:id="12788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Sr. Director of Institutional Research &amp; Assessment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70974E-16C8-4287-890D-8258BBA1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Johnson College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Little</dc:creator>
  <cp:keywords/>
  <dc:description/>
  <cp:lastModifiedBy>Laura Little</cp:lastModifiedBy>
  <cp:revision>2</cp:revision>
  <dcterms:created xsi:type="dcterms:W3CDTF">2020-09-11T12:00:00Z</dcterms:created>
  <dcterms:modified xsi:type="dcterms:W3CDTF">2020-09-11T12:00:00Z</dcterms:modified>
</cp:coreProperties>
</file>